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2C0" w:rsidRPr="00CC6C75" w:rsidRDefault="00CC6C75" w:rsidP="00CC6C75">
      <w:pPr>
        <w:spacing w:after="0" w:line="240" w:lineRule="auto"/>
        <w:ind w:left="0" w:right="0" w:firstLine="0"/>
        <w:jc w:val="right"/>
        <w:rPr>
          <w:sz w:val="20"/>
          <w:szCs w:val="20"/>
        </w:rPr>
      </w:pPr>
      <w:proofErr w:type="gramStart"/>
      <w:r w:rsidRPr="00CC6C75">
        <w:rPr>
          <w:b/>
          <w:i/>
          <w:sz w:val="20"/>
          <w:szCs w:val="20"/>
        </w:rPr>
        <w:t>პროექტი</w:t>
      </w:r>
      <w:proofErr w:type="gramEnd"/>
    </w:p>
    <w:p w:rsidR="00CC6C75" w:rsidRDefault="00CC6C75" w:rsidP="008D129D">
      <w:pPr>
        <w:spacing w:after="0" w:line="240" w:lineRule="auto"/>
        <w:ind w:left="0" w:right="0"/>
        <w:jc w:val="center"/>
        <w:rPr>
          <w:b/>
          <w:sz w:val="20"/>
          <w:szCs w:val="20"/>
        </w:rPr>
      </w:pPr>
      <w:proofErr w:type="gramStart"/>
      <w:r w:rsidRPr="00CC6C75">
        <w:rPr>
          <w:b/>
          <w:sz w:val="20"/>
          <w:szCs w:val="20"/>
        </w:rPr>
        <w:t>საქართველოს</w:t>
      </w:r>
      <w:proofErr w:type="gramEnd"/>
      <w:r>
        <w:rPr>
          <w:b/>
          <w:sz w:val="20"/>
          <w:szCs w:val="20"/>
          <w:lang w:val="ka-GE"/>
        </w:rPr>
        <w:t xml:space="preserve"> </w:t>
      </w:r>
      <w:r w:rsidRPr="00CC6C75">
        <w:rPr>
          <w:b/>
          <w:sz w:val="20"/>
          <w:szCs w:val="20"/>
        </w:rPr>
        <w:t>მთავრობის</w:t>
      </w:r>
    </w:p>
    <w:p w:rsidR="004C32C0" w:rsidRPr="00CC6C75" w:rsidRDefault="00CC6C75" w:rsidP="008D129D">
      <w:pPr>
        <w:spacing w:after="0" w:line="240" w:lineRule="auto"/>
        <w:ind w:left="0" w:right="0"/>
        <w:jc w:val="center"/>
        <w:rPr>
          <w:sz w:val="20"/>
          <w:szCs w:val="20"/>
        </w:rPr>
      </w:pPr>
      <w:proofErr w:type="gramStart"/>
      <w:r w:rsidRPr="00CC6C75">
        <w:rPr>
          <w:b/>
          <w:sz w:val="20"/>
          <w:szCs w:val="20"/>
        </w:rPr>
        <w:t>განკარგულება</w:t>
      </w:r>
      <w:proofErr w:type="gramEnd"/>
      <w:r w:rsidRPr="00CC6C75">
        <w:rPr>
          <w:b/>
          <w:sz w:val="20"/>
          <w:szCs w:val="20"/>
        </w:rPr>
        <w:t xml:space="preserve"> №---</w:t>
      </w:r>
    </w:p>
    <w:p w:rsidR="004C32C0" w:rsidRPr="00CC6C75" w:rsidRDefault="00CC6C75" w:rsidP="008D129D">
      <w:pPr>
        <w:spacing w:after="0" w:line="240" w:lineRule="auto"/>
        <w:ind w:left="0" w:right="0"/>
        <w:jc w:val="center"/>
        <w:rPr>
          <w:sz w:val="20"/>
          <w:szCs w:val="20"/>
        </w:rPr>
      </w:pPr>
      <w:r w:rsidRPr="00CC6C75">
        <w:rPr>
          <w:b/>
          <w:sz w:val="20"/>
          <w:szCs w:val="20"/>
        </w:rPr>
        <w:t>2020 წლის --- მარტი</w:t>
      </w:r>
    </w:p>
    <w:p w:rsidR="004C32C0" w:rsidRDefault="00CC6C75" w:rsidP="008D129D">
      <w:pPr>
        <w:spacing w:after="0" w:line="240" w:lineRule="auto"/>
        <w:ind w:left="0" w:right="0"/>
        <w:jc w:val="center"/>
        <w:rPr>
          <w:b/>
          <w:sz w:val="20"/>
          <w:szCs w:val="20"/>
        </w:rPr>
      </w:pPr>
      <w:r w:rsidRPr="00CC6C75">
        <w:rPr>
          <w:b/>
          <w:sz w:val="20"/>
          <w:szCs w:val="20"/>
        </w:rPr>
        <w:t xml:space="preserve">ქ. </w:t>
      </w:r>
      <w:proofErr w:type="gramStart"/>
      <w:r w:rsidRPr="00CC6C75">
        <w:rPr>
          <w:b/>
          <w:sz w:val="20"/>
          <w:szCs w:val="20"/>
        </w:rPr>
        <w:t>თბილისი</w:t>
      </w:r>
      <w:proofErr w:type="gramEnd"/>
    </w:p>
    <w:p w:rsidR="00CC6C75" w:rsidRPr="00CC6C75" w:rsidRDefault="00CC6C75" w:rsidP="008D129D">
      <w:pPr>
        <w:spacing w:after="0" w:line="240" w:lineRule="auto"/>
        <w:ind w:left="0" w:right="0"/>
        <w:jc w:val="center"/>
        <w:rPr>
          <w:sz w:val="20"/>
          <w:szCs w:val="20"/>
        </w:rPr>
      </w:pPr>
    </w:p>
    <w:p w:rsidR="004C32C0" w:rsidRPr="006F3025" w:rsidRDefault="00CC6C75" w:rsidP="008D129D">
      <w:pPr>
        <w:spacing w:after="0" w:line="240" w:lineRule="auto"/>
        <w:ind w:left="0" w:right="0"/>
        <w:jc w:val="center"/>
        <w:rPr>
          <w:b/>
          <w:sz w:val="20"/>
          <w:szCs w:val="20"/>
          <w:lang w:val="ka-GE"/>
        </w:rPr>
      </w:pPr>
      <w:bookmarkStart w:id="0" w:name="_GoBack"/>
      <w:proofErr w:type="gramStart"/>
      <w:r w:rsidRPr="00CC6C75">
        <w:rPr>
          <w:b/>
          <w:sz w:val="20"/>
          <w:szCs w:val="20"/>
        </w:rPr>
        <w:t>საქართველოს</w:t>
      </w:r>
      <w:proofErr w:type="gramEnd"/>
      <w:r w:rsidRPr="00CC6C75">
        <w:rPr>
          <w:b/>
          <w:sz w:val="20"/>
          <w:szCs w:val="20"/>
        </w:rPr>
        <w:t xml:space="preserve"> რეგიონული განვითარებისა და ინფრასტრუქტურის სამინისტროს</w:t>
      </w:r>
      <w:r>
        <w:rPr>
          <w:b/>
          <w:sz w:val="20"/>
          <w:szCs w:val="20"/>
          <w:lang w:val="ka-GE"/>
        </w:rPr>
        <w:t xml:space="preserve"> </w:t>
      </w:r>
      <w:r w:rsidRPr="00CC6C75">
        <w:rPr>
          <w:b/>
          <w:sz w:val="20"/>
          <w:szCs w:val="20"/>
        </w:rPr>
        <w:t>გამგებლობაში არსებულ სახელმწიფო საქვეუწყებო დაწესებულებას - საქართველოს</w:t>
      </w:r>
      <w:r>
        <w:rPr>
          <w:b/>
          <w:sz w:val="20"/>
          <w:szCs w:val="20"/>
          <w:lang w:val="ka-GE"/>
        </w:rPr>
        <w:t xml:space="preserve"> </w:t>
      </w:r>
      <w:r w:rsidRPr="00CC6C75">
        <w:rPr>
          <w:b/>
          <w:sz w:val="20"/>
          <w:szCs w:val="20"/>
        </w:rPr>
        <w:t xml:space="preserve">საავტომობილო გზების დეპარტამენტს და ერთობლივ საწარმოს </w:t>
      </w:r>
      <w:r w:rsidR="00FD597C">
        <w:rPr>
          <w:b/>
          <w:i/>
          <w:sz w:val="20"/>
          <w:szCs w:val="20"/>
        </w:rPr>
        <w:t xml:space="preserve">- </w:t>
      </w:r>
      <w:r w:rsidRPr="00CC6C75">
        <w:rPr>
          <w:b/>
          <w:sz w:val="20"/>
          <w:szCs w:val="20"/>
        </w:rPr>
        <w:t>UBM</w:t>
      </w:r>
      <w:r w:rsidR="00FD597C">
        <w:rPr>
          <w:b/>
          <w:sz w:val="20"/>
          <w:szCs w:val="20"/>
          <w:lang w:val="ka-GE"/>
        </w:rPr>
        <w:t xml:space="preserve"> </w:t>
      </w:r>
      <w:r w:rsidRPr="00CC6C75">
        <w:rPr>
          <w:b/>
          <w:sz w:val="20"/>
          <w:szCs w:val="20"/>
        </w:rPr>
        <w:t>ULUSLARARASI</w:t>
      </w:r>
      <w:r>
        <w:rPr>
          <w:b/>
          <w:sz w:val="20"/>
          <w:szCs w:val="20"/>
          <w:lang w:val="ka-GE"/>
        </w:rPr>
        <w:t xml:space="preserve"> </w:t>
      </w:r>
      <w:r w:rsidRPr="00CC6C75">
        <w:rPr>
          <w:b/>
          <w:sz w:val="20"/>
          <w:szCs w:val="20"/>
        </w:rPr>
        <w:t>BİRLEŞMİŞ MÜŞAVİRLER MÜŞAVİRLİK HİZMETLERİ A.Ş. და SMEC International PTY</w:t>
      </w:r>
      <w:r>
        <w:rPr>
          <w:b/>
          <w:sz w:val="20"/>
          <w:szCs w:val="20"/>
          <w:lang w:val="ka-GE"/>
        </w:rPr>
        <w:t xml:space="preserve"> </w:t>
      </w:r>
      <w:r w:rsidRPr="00CC6C75">
        <w:rPr>
          <w:b/>
          <w:sz w:val="20"/>
          <w:szCs w:val="20"/>
        </w:rPr>
        <w:t xml:space="preserve">LTD შორის გასაფორმებელი ხელშეკრულების </w:t>
      </w:r>
      <w:r w:rsidR="006F3025">
        <w:rPr>
          <w:b/>
          <w:sz w:val="20"/>
          <w:szCs w:val="20"/>
          <w:lang w:val="ka-GE"/>
        </w:rPr>
        <w:t>შესახებ</w:t>
      </w:r>
    </w:p>
    <w:bookmarkEnd w:id="0"/>
    <w:p w:rsidR="00CC6C75" w:rsidRPr="00CC6C75" w:rsidRDefault="00CC6C75" w:rsidP="00CC6C75">
      <w:pPr>
        <w:spacing w:after="0" w:line="240" w:lineRule="auto"/>
        <w:ind w:left="0" w:right="0"/>
        <w:rPr>
          <w:sz w:val="20"/>
          <w:szCs w:val="20"/>
        </w:rPr>
      </w:pPr>
    </w:p>
    <w:p w:rsidR="004C32C0" w:rsidRDefault="00CC6C75" w:rsidP="008D129D">
      <w:pPr>
        <w:spacing w:after="0" w:line="240" w:lineRule="auto"/>
        <w:ind w:left="0" w:right="0" w:firstLine="720"/>
        <w:rPr>
          <w:sz w:val="20"/>
          <w:szCs w:val="20"/>
        </w:rPr>
      </w:pPr>
      <w:proofErr w:type="gramStart"/>
      <w:r w:rsidRPr="00CC6C75">
        <w:rPr>
          <w:sz w:val="20"/>
          <w:szCs w:val="20"/>
        </w:rPr>
        <w:t>„უცხოელი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 საქართველოს მთავრობის 2010 წლის 11 მაისის №139 დადგენილების პირველი მუხლის „ა“ ქვეპუნქტის შესაბამისად, მოწონებულ იქნეს საქართველოს რეგიონული განვითარებისა და ინფრასტრუქტურის სამინისტროს გამგებლობაში არსებულ სახელმწიფო საქვეუწყებო დაწესებულება</w:t>
      </w:r>
      <w:r w:rsidR="00FD597C">
        <w:rPr>
          <w:sz w:val="20"/>
          <w:szCs w:val="20"/>
          <w:lang w:val="ka-GE"/>
        </w:rPr>
        <w:t>ს</w:t>
      </w:r>
      <w:r w:rsidRPr="00CC6C75">
        <w:rPr>
          <w:sz w:val="20"/>
          <w:szCs w:val="20"/>
        </w:rPr>
        <w:t xml:space="preserve"> - საქართველოს საავტომობილო გზების დეპარტამენტსა და ერთობლ</w:t>
      </w:r>
      <w:r w:rsidR="00FD597C">
        <w:rPr>
          <w:sz w:val="20"/>
          <w:szCs w:val="20"/>
          <w:lang w:val="ka-GE"/>
        </w:rPr>
        <w:t>ი</w:t>
      </w:r>
      <w:r w:rsidRPr="00CC6C75">
        <w:rPr>
          <w:sz w:val="20"/>
          <w:szCs w:val="20"/>
        </w:rPr>
        <w:t>ვ საწარმოს</w:t>
      </w:r>
      <w:r w:rsidR="00FD597C">
        <w:rPr>
          <w:sz w:val="20"/>
          <w:szCs w:val="20"/>
          <w:lang w:val="ka-GE"/>
        </w:rPr>
        <w:t xml:space="preserve"> -</w:t>
      </w:r>
      <w:r w:rsidRPr="00CC6C75">
        <w:rPr>
          <w:sz w:val="20"/>
          <w:szCs w:val="20"/>
        </w:rPr>
        <w:t xml:space="preserve"> UBM ULUSLARARASI BİRLEŞMİŞ MÜŞAVİRLER MÜŞAVİRLİK HİZMETLERİ A.Ş. და SMEC International PTY LTD შორის გასაფორმებელი ხელშეკრულებ</w:t>
      </w:r>
      <w:r w:rsidR="00FD597C">
        <w:rPr>
          <w:sz w:val="20"/>
          <w:szCs w:val="20"/>
          <w:lang w:val="ka-GE"/>
        </w:rPr>
        <w:t>ა</w:t>
      </w:r>
      <w:r w:rsidRPr="00CC6C75">
        <w:rPr>
          <w:sz w:val="20"/>
          <w:szCs w:val="20"/>
        </w:rPr>
        <w:t xml:space="preserve"> </w:t>
      </w:r>
      <w:r w:rsidR="00163D88">
        <w:rPr>
          <w:sz w:val="20"/>
          <w:szCs w:val="20"/>
          <w:lang w:val="ka-GE"/>
        </w:rPr>
        <w:t xml:space="preserve">- </w:t>
      </w:r>
      <w:r w:rsidRPr="00CC6C75">
        <w:rPr>
          <w:sz w:val="20"/>
          <w:szCs w:val="20"/>
        </w:rPr>
        <w:t>„E-60 ჩქაროსნული ავტომაგისტრალის შორაპანი-არგვეთას (F4) მონაკვეთის მშენებლობის ზედამხედველობა“.</w:t>
      </w:r>
      <w:proofErr w:type="gramEnd"/>
    </w:p>
    <w:p w:rsidR="00CC6C75" w:rsidRPr="00CC6C75" w:rsidRDefault="00CC6C75" w:rsidP="00CC6C75">
      <w:pPr>
        <w:spacing w:after="0" w:line="240" w:lineRule="auto"/>
        <w:ind w:left="0" w:right="0"/>
        <w:rPr>
          <w:sz w:val="20"/>
          <w:szCs w:val="20"/>
        </w:rPr>
      </w:pPr>
    </w:p>
    <w:p w:rsidR="00CC6C75" w:rsidRDefault="00CC6C75" w:rsidP="00CC6C75">
      <w:pPr>
        <w:spacing w:after="0" w:line="240" w:lineRule="auto"/>
        <w:ind w:left="0" w:right="0"/>
        <w:rPr>
          <w:b/>
          <w:sz w:val="20"/>
          <w:szCs w:val="20"/>
        </w:rPr>
      </w:pPr>
      <w:proofErr w:type="gramStart"/>
      <w:r w:rsidRPr="00CC6C75">
        <w:rPr>
          <w:b/>
          <w:sz w:val="20"/>
          <w:szCs w:val="20"/>
        </w:rPr>
        <w:t>პრემიერ-მინისტრი</w:t>
      </w:r>
      <w:proofErr w:type="gramEnd"/>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CC6C75">
        <w:rPr>
          <w:b/>
          <w:sz w:val="20"/>
          <w:szCs w:val="20"/>
        </w:rPr>
        <w:t xml:space="preserve">გიორგი გახარია </w:t>
      </w: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rPr>
          <w:b/>
          <w:sz w:val="20"/>
          <w:szCs w:val="20"/>
        </w:rPr>
      </w:pPr>
    </w:p>
    <w:p w:rsidR="00CC6C75" w:rsidRDefault="00CC6C75" w:rsidP="00CC6C75">
      <w:pPr>
        <w:spacing w:after="0" w:line="240" w:lineRule="auto"/>
        <w:ind w:left="0" w:right="0"/>
        <w:jc w:val="center"/>
        <w:rPr>
          <w:b/>
          <w:sz w:val="20"/>
          <w:szCs w:val="20"/>
          <w:lang w:val="ka-GE"/>
        </w:rPr>
      </w:pPr>
      <w:r>
        <w:rPr>
          <w:b/>
          <w:sz w:val="20"/>
          <w:szCs w:val="20"/>
          <w:lang w:val="ka-GE"/>
        </w:rPr>
        <w:lastRenderedPageBreak/>
        <w:t>განმარტებითი ბარათი</w:t>
      </w:r>
    </w:p>
    <w:p w:rsidR="00CC6C75" w:rsidRPr="00CC6C75" w:rsidRDefault="00CC6C75" w:rsidP="00CC6C75">
      <w:pPr>
        <w:spacing w:after="0" w:line="240" w:lineRule="auto"/>
        <w:ind w:left="0" w:right="0"/>
        <w:jc w:val="center"/>
        <w:rPr>
          <w:b/>
          <w:sz w:val="20"/>
          <w:szCs w:val="20"/>
          <w:lang w:val="ka-GE"/>
        </w:rPr>
      </w:pPr>
    </w:p>
    <w:p w:rsidR="00CC6C75" w:rsidRPr="00CC6C75" w:rsidRDefault="00CC6C75" w:rsidP="00CC6C75">
      <w:pPr>
        <w:spacing w:after="0" w:line="240" w:lineRule="auto"/>
        <w:ind w:left="0" w:right="0"/>
        <w:jc w:val="center"/>
        <w:rPr>
          <w:b/>
          <w:sz w:val="20"/>
          <w:szCs w:val="20"/>
          <w:lang w:val="ka-GE"/>
        </w:rPr>
      </w:pPr>
      <w:r w:rsidRPr="00CC6C75">
        <w:rPr>
          <w:b/>
          <w:sz w:val="20"/>
          <w:szCs w:val="20"/>
          <w:lang w:val="ka-GE"/>
        </w:rPr>
        <w:t>„საქართველოს რეგიონული განვითარებისა და ინფრასტრუქტურის სამინისტროს გამგებლობაში არსებულ სახელმწიფო საქვეუწყებო დაწესებულებას - საქართველოს</w:t>
      </w:r>
      <w:r>
        <w:rPr>
          <w:b/>
          <w:sz w:val="20"/>
          <w:szCs w:val="20"/>
          <w:lang w:val="ka-GE"/>
        </w:rPr>
        <w:t xml:space="preserve"> </w:t>
      </w:r>
      <w:r w:rsidRPr="00CC6C75">
        <w:rPr>
          <w:b/>
          <w:sz w:val="20"/>
          <w:szCs w:val="20"/>
          <w:lang w:val="ka-GE"/>
        </w:rPr>
        <w:t>საავტომობილო გზების დეპარტამენტს და ერთობლივ საწარმოს</w:t>
      </w:r>
      <w:r w:rsidR="00ED2C31">
        <w:rPr>
          <w:b/>
          <w:i/>
          <w:sz w:val="20"/>
          <w:szCs w:val="20"/>
          <w:lang w:val="ka-GE"/>
        </w:rPr>
        <w:t xml:space="preserve"> – </w:t>
      </w:r>
      <w:r w:rsidRPr="00CC6C75">
        <w:rPr>
          <w:b/>
          <w:sz w:val="20"/>
          <w:szCs w:val="20"/>
          <w:lang w:val="ka-GE"/>
        </w:rPr>
        <w:t>UBM</w:t>
      </w:r>
      <w:r w:rsidR="00ED2C31">
        <w:rPr>
          <w:b/>
          <w:sz w:val="20"/>
          <w:szCs w:val="20"/>
          <w:lang w:val="ka-GE"/>
        </w:rPr>
        <w:t xml:space="preserve"> </w:t>
      </w:r>
      <w:r w:rsidRPr="00CC6C75">
        <w:rPr>
          <w:b/>
          <w:sz w:val="20"/>
          <w:szCs w:val="20"/>
          <w:lang w:val="ka-GE"/>
        </w:rPr>
        <w:t>ULUSLARARASI</w:t>
      </w:r>
      <w:r>
        <w:rPr>
          <w:b/>
          <w:sz w:val="20"/>
          <w:szCs w:val="20"/>
          <w:lang w:val="ka-GE"/>
        </w:rPr>
        <w:t xml:space="preserve"> </w:t>
      </w:r>
      <w:r w:rsidRPr="00CC6C75">
        <w:rPr>
          <w:b/>
          <w:sz w:val="20"/>
          <w:szCs w:val="20"/>
          <w:lang w:val="ka-GE"/>
        </w:rPr>
        <w:t xml:space="preserve">BİRLEŞMİŞ MÜŞAVİRLER MÜŞAVİRLİK HİZMETLERİ A.Ş. და SMEC International PTY LTDს შორის გასაფორმებელი ხელშეკრულების </w:t>
      </w:r>
      <w:r w:rsidR="006F3025">
        <w:rPr>
          <w:b/>
          <w:sz w:val="20"/>
          <w:szCs w:val="20"/>
          <w:lang w:val="ka-GE"/>
        </w:rPr>
        <w:t>შესახებ</w:t>
      </w:r>
      <w:r w:rsidRPr="00CC6C75">
        <w:rPr>
          <w:b/>
          <w:sz w:val="20"/>
          <w:szCs w:val="20"/>
          <w:lang w:val="ka-GE"/>
        </w:rPr>
        <w:t>“ საქართველოს მთავრობის განკარგულების პროექტის თაობაზე</w:t>
      </w:r>
    </w:p>
    <w:p w:rsidR="00CC6C75" w:rsidRPr="00CC6C75" w:rsidRDefault="00CC6C75" w:rsidP="00CC6C75">
      <w:pPr>
        <w:spacing w:after="0" w:line="240" w:lineRule="auto"/>
        <w:ind w:left="0" w:right="0"/>
        <w:jc w:val="center"/>
        <w:rPr>
          <w:b/>
          <w:sz w:val="20"/>
          <w:szCs w:val="20"/>
          <w:lang w:val="ka-GE"/>
        </w:rPr>
      </w:pPr>
    </w:p>
    <w:p w:rsidR="004C32C0" w:rsidRPr="00CC6C75" w:rsidRDefault="00CC6C75" w:rsidP="00CC6C75">
      <w:pPr>
        <w:spacing w:after="0" w:line="240" w:lineRule="auto"/>
        <w:ind w:left="0" w:right="0"/>
        <w:jc w:val="center"/>
        <w:rPr>
          <w:b/>
          <w:sz w:val="20"/>
          <w:szCs w:val="20"/>
          <w:lang w:val="ka-GE"/>
        </w:rPr>
      </w:pPr>
      <w:r w:rsidRPr="00CC6C75">
        <w:rPr>
          <w:b/>
          <w:sz w:val="20"/>
          <w:szCs w:val="20"/>
          <w:lang w:val="ka-GE"/>
        </w:rPr>
        <w:t>ინფორმაცია სამართლებრივი აქტის პროექტის შესახებ</w:t>
      </w:r>
    </w:p>
    <w:p w:rsidR="00CC6C75" w:rsidRPr="00CC6C75" w:rsidRDefault="00CC6C75" w:rsidP="00CC6C75">
      <w:pPr>
        <w:spacing w:after="0" w:line="240" w:lineRule="auto"/>
        <w:ind w:left="0" w:right="0"/>
        <w:rPr>
          <w:sz w:val="20"/>
          <w:szCs w:val="20"/>
          <w:lang w:val="ka-GE"/>
        </w:rPr>
      </w:pPr>
    </w:p>
    <w:p w:rsidR="00CC6C75" w:rsidRPr="00CC6C75" w:rsidRDefault="00CC6C75" w:rsidP="00CC6C75">
      <w:pPr>
        <w:spacing w:after="0" w:line="240" w:lineRule="auto"/>
        <w:ind w:left="0" w:right="0" w:firstLine="720"/>
        <w:rPr>
          <w:sz w:val="20"/>
          <w:szCs w:val="20"/>
          <w:lang w:val="ka-GE"/>
        </w:rPr>
      </w:pPr>
      <w:r w:rsidRPr="00CC6C75">
        <w:rPr>
          <w:sz w:val="20"/>
          <w:szCs w:val="20"/>
          <w:lang w:val="ka-GE"/>
        </w:rPr>
        <w:t xml:space="preserve">„საქართველოს რეგიონული განვითარებისა და ინფრასტრუქტურის სამინისტროს გამგებლობაში არსებულ სახელმწიფო საქვეუწყებო დაწესებულებას - საქართველოს საავტომობილო გზების დეპარტამენტსა და ერთობლივ საწარმოს </w:t>
      </w:r>
      <w:r w:rsidR="00ED2C31">
        <w:rPr>
          <w:sz w:val="20"/>
          <w:szCs w:val="20"/>
          <w:lang w:val="ka-GE"/>
        </w:rPr>
        <w:t xml:space="preserve">- </w:t>
      </w:r>
      <w:r w:rsidRPr="00CC6C75">
        <w:rPr>
          <w:sz w:val="20"/>
          <w:szCs w:val="20"/>
          <w:lang w:val="ka-GE"/>
        </w:rPr>
        <w:t>UBM ULUSLARARASI BİRLEŞMİŞ MÜŞAVİRLER MÜŞAVİRLİK HİZMETLERİ A.Ş. და SMEC International PTY LTD შორის გასაფორმებელი ხელშეკრულების შესახებ“ საქართველოს მთავრობის განკარგულების პროექტის (შემდგომში - განკარგულების პროექტი) მომზადება განპირობებულია შემდეგი გარემოებებით:</w:t>
      </w:r>
    </w:p>
    <w:p w:rsidR="00F163E2" w:rsidRPr="008D129D" w:rsidRDefault="0075709A" w:rsidP="00F163E2">
      <w:pPr>
        <w:spacing w:after="0" w:line="240" w:lineRule="auto"/>
        <w:ind w:left="0" w:right="0" w:firstLine="720"/>
        <w:rPr>
          <w:b/>
          <w:sz w:val="20"/>
          <w:szCs w:val="20"/>
          <w:lang w:val="ka-GE"/>
        </w:rPr>
      </w:pPr>
      <w:r w:rsidRPr="00CC6C75">
        <w:rPr>
          <w:sz w:val="20"/>
          <w:szCs w:val="20"/>
          <w:lang w:val="ka-GE"/>
        </w:rPr>
        <w:t xml:space="preserve">„საქართველოს რეგიონული განვითარებისა და ინფრასტრუქტურის სამინისტროს გამგებლობაში არსებულ სახელმწიფო საქვეუწყებო </w:t>
      </w:r>
      <w:r>
        <w:rPr>
          <w:sz w:val="20"/>
          <w:szCs w:val="20"/>
          <w:lang w:val="ka-GE"/>
        </w:rPr>
        <w:t xml:space="preserve">დაწესებულება - </w:t>
      </w:r>
      <w:r w:rsidR="00CC6C75" w:rsidRPr="008D129D">
        <w:rPr>
          <w:sz w:val="20"/>
          <w:szCs w:val="20"/>
          <w:lang w:val="ka-GE"/>
        </w:rPr>
        <w:t>საქართველოს საავტომობილო გზების დეპარტამენტი</w:t>
      </w:r>
      <w:r>
        <w:rPr>
          <w:sz w:val="20"/>
          <w:szCs w:val="20"/>
          <w:lang w:val="ka-GE"/>
        </w:rPr>
        <w:t xml:space="preserve"> (შემდგომში - დეპარტამენტი)</w:t>
      </w:r>
      <w:r w:rsidR="00CC6C75" w:rsidRPr="008D129D">
        <w:rPr>
          <w:sz w:val="20"/>
          <w:szCs w:val="20"/>
          <w:lang w:val="ka-GE"/>
        </w:rPr>
        <w:t>, აზიის განვითარების ბანკის დაფინანსების ფარგლებში (</w:t>
      </w:r>
      <w:r w:rsidR="008D0549">
        <w:rPr>
          <w:sz w:val="20"/>
          <w:szCs w:val="20"/>
          <w:lang w:val="ka-GE"/>
        </w:rPr>
        <w:t>საქართველოსა და აზიის განვითარების ბანკს შორის 2019 წლის 27 ნოემბერს გაფორმებული სასესხო შეთანხმება (ჩვეულებრივი ოპერაციები) (</w:t>
      </w:r>
      <w:r w:rsidR="00CC6C75" w:rsidRPr="008D129D">
        <w:rPr>
          <w:sz w:val="20"/>
          <w:szCs w:val="20"/>
          <w:lang w:val="ka-GE"/>
        </w:rPr>
        <w:t xml:space="preserve">აღმოსავლეთ-დასავლეთის მაგისტრალის (შორაპანი-არგვეთას მონაკვეთი) </w:t>
      </w:r>
      <w:r w:rsidR="00CC6C75" w:rsidRPr="009D79D2">
        <w:rPr>
          <w:sz w:val="20"/>
          <w:szCs w:val="20"/>
          <w:lang w:val="ka-GE"/>
        </w:rPr>
        <w:t>გაუმჯობესების პროექტი), უახლოეს პერიოდში გეგმავს</w:t>
      </w:r>
      <w:r w:rsidR="00CC6C75" w:rsidRPr="0075709A">
        <w:rPr>
          <w:sz w:val="20"/>
          <w:szCs w:val="20"/>
          <w:lang w:val="ka-GE"/>
        </w:rPr>
        <w:t xml:space="preserve"> ხელშეკრულების</w:t>
      </w:r>
      <w:r w:rsidR="009D79D2" w:rsidRPr="0075709A">
        <w:rPr>
          <w:sz w:val="20"/>
          <w:szCs w:val="20"/>
          <w:lang w:val="ka-GE"/>
        </w:rPr>
        <w:t xml:space="preserve"> </w:t>
      </w:r>
      <w:r w:rsidR="00CC6C75" w:rsidRPr="0075709A">
        <w:rPr>
          <w:sz w:val="20"/>
          <w:szCs w:val="20"/>
          <w:lang w:val="ka-GE"/>
        </w:rPr>
        <w:t xml:space="preserve">გაფორმებას ერთობლივ საწარმოსთან </w:t>
      </w:r>
      <w:r w:rsidR="009D79D2" w:rsidRPr="0075709A">
        <w:rPr>
          <w:sz w:val="20"/>
          <w:szCs w:val="20"/>
          <w:lang w:val="ka-GE"/>
        </w:rPr>
        <w:t xml:space="preserve">- </w:t>
      </w:r>
      <w:r w:rsidR="00CC6C75" w:rsidRPr="009D79D2">
        <w:rPr>
          <w:sz w:val="20"/>
          <w:szCs w:val="20"/>
          <w:lang w:val="ka-GE"/>
        </w:rPr>
        <w:t>UBM ULUSLARARASI BİRLEŞMİŞ MÜŞAVİRLER MÜŞAVİRLİK HİZMETLERİ A.Ş. და SMEC International PTY LTD შემდეგი მომსახურების გასაწევად: „E-60 ავტომაგისტრალის შორაპანი-არგვეთას მონაკვეთის მშენებლობის ზედამხედველობა“ (SARP/CS/QCBS-01)</w:t>
      </w:r>
      <w:r w:rsidR="0038183B">
        <w:rPr>
          <w:sz w:val="20"/>
          <w:szCs w:val="20"/>
          <w:lang w:val="ka-GE"/>
        </w:rPr>
        <w:t xml:space="preserve"> (შემდგომში - ხელშეკრულება)</w:t>
      </w:r>
      <w:r w:rsidR="00CC6C75" w:rsidRPr="009D79D2">
        <w:rPr>
          <w:sz w:val="20"/>
          <w:szCs w:val="20"/>
          <w:lang w:val="ka-GE"/>
        </w:rPr>
        <w:t>.</w:t>
      </w:r>
    </w:p>
    <w:p w:rsidR="00F163E2" w:rsidRPr="008D129D" w:rsidRDefault="00CC6C75" w:rsidP="00F163E2">
      <w:pPr>
        <w:spacing w:after="0" w:line="240" w:lineRule="auto"/>
        <w:ind w:left="0" w:right="0" w:firstLine="720"/>
        <w:rPr>
          <w:sz w:val="20"/>
          <w:szCs w:val="20"/>
          <w:lang w:val="ka-GE"/>
        </w:rPr>
      </w:pPr>
      <w:r w:rsidRPr="008D129D">
        <w:rPr>
          <w:sz w:val="20"/>
          <w:szCs w:val="20"/>
          <w:lang w:val="ka-GE"/>
        </w:rPr>
        <w:t>საქართველოს საავტომობილო გზების განვითარების ძირითად პრიორიტეტს წარმოადგენს სატრანზიტო გადაზიდვების პოტენციალის ამაღლება, რაც ძირითადად მიღწეული იქნება E-60 და E-70 სატრანზიტო კორიდორების ოთხზოლიანი მაგისტრალებად მოდერნიზაციით, შესაბამისად, აქტიურად მიმდინარეობს სხვადასხვა სეგმენტების მშენებლობა-რეკონსტრუქცია-მოდერნიზაცია, ისევე როგორც, აღნიშნული სამუშაოების ზედამხედველობა. სწორედ ამ მიზნით გაფორმდა E-60 ავტომაგისტრალის შორაპანი-არგვეთას მონაკვეთის მშენებლობის ხელშეკრულება, რომელიც ითვალისწინებს 4-ზოლიანი 14.7 კმ სიგრძის მონაკვეთის მშენებლობას. აღნიშნული სამშენებლო სამუშაოების განსახორციელებლად აუცილებელია მშენებლობის ზედამხედველობის ხელშეკრულების გაფორმება.</w:t>
      </w:r>
    </w:p>
    <w:p w:rsidR="00F163E2" w:rsidRPr="008D129D" w:rsidRDefault="00CC6C75" w:rsidP="00F163E2">
      <w:pPr>
        <w:spacing w:after="0" w:line="240" w:lineRule="auto"/>
        <w:ind w:left="0" w:right="0" w:firstLine="720"/>
        <w:rPr>
          <w:sz w:val="20"/>
          <w:szCs w:val="20"/>
          <w:lang w:val="ka-GE"/>
        </w:rPr>
      </w:pPr>
      <w:r w:rsidRPr="008D129D">
        <w:rPr>
          <w:sz w:val="20"/>
          <w:szCs w:val="20"/>
          <w:lang w:val="ka-GE"/>
        </w:rPr>
        <w:t xml:space="preserve">გასაფორმებელი ხელშეკრულების ღირებულება შეადგენს 4 859 157.40 </w:t>
      </w:r>
      <w:r w:rsidR="000C4A59" w:rsidRPr="00CC6C75">
        <w:rPr>
          <w:sz w:val="20"/>
          <w:szCs w:val="20"/>
        </w:rPr>
        <w:t>(ოთხი მილიონ რვაას</w:t>
      </w:r>
      <w:r w:rsidR="000C4A59">
        <w:rPr>
          <w:sz w:val="20"/>
          <w:szCs w:val="20"/>
          <w:lang w:val="ka-GE"/>
        </w:rPr>
        <w:t xml:space="preserve"> </w:t>
      </w:r>
      <w:r w:rsidR="000C4A59" w:rsidRPr="00CC6C75">
        <w:rPr>
          <w:sz w:val="20"/>
          <w:szCs w:val="20"/>
        </w:rPr>
        <w:t>ორმოცდაცხრამეტი ათას ას ორმოცდაჩვიდმეტი დოლარი და ორმოცი ცენტი</w:t>
      </w:r>
      <w:r w:rsidR="000C4A59">
        <w:rPr>
          <w:sz w:val="20"/>
          <w:szCs w:val="20"/>
        </w:rPr>
        <w:t xml:space="preserve">) </w:t>
      </w:r>
      <w:r w:rsidRPr="008D129D">
        <w:rPr>
          <w:sz w:val="20"/>
          <w:szCs w:val="20"/>
          <w:lang w:val="ka-GE"/>
        </w:rPr>
        <w:t>აშშ დოლარს და 7 742 881.52</w:t>
      </w:r>
      <w:r w:rsidR="000C4A59">
        <w:rPr>
          <w:sz w:val="20"/>
          <w:szCs w:val="20"/>
          <w:lang w:val="ka-GE"/>
        </w:rPr>
        <w:t xml:space="preserve"> </w:t>
      </w:r>
      <w:r w:rsidR="000C4A59" w:rsidRPr="00CC6C75">
        <w:rPr>
          <w:sz w:val="20"/>
          <w:szCs w:val="20"/>
        </w:rPr>
        <w:t>(შვიდი მილიონ შვიდას ორმოცდაორი ათას რვაას ოთხმოცდაერთი ლარი და</w:t>
      </w:r>
      <w:r w:rsidR="000C4A59">
        <w:rPr>
          <w:sz w:val="20"/>
          <w:szCs w:val="20"/>
          <w:lang w:val="ka-GE"/>
        </w:rPr>
        <w:t xml:space="preserve"> </w:t>
      </w:r>
      <w:r w:rsidR="000C4A59" w:rsidRPr="00CC6C75">
        <w:rPr>
          <w:sz w:val="20"/>
          <w:szCs w:val="20"/>
        </w:rPr>
        <w:t>ორმოცდათორმეტი თეთრი)</w:t>
      </w:r>
      <w:r w:rsidR="000C4A59">
        <w:rPr>
          <w:sz w:val="20"/>
          <w:szCs w:val="20"/>
        </w:rPr>
        <w:t xml:space="preserve"> </w:t>
      </w:r>
      <w:r w:rsidRPr="008D129D">
        <w:rPr>
          <w:sz w:val="20"/>
          <w:szCs w:val="20"/>
          <w:lang w:val="ka-GE"/>
        </w:rPr>
        <w:t>ლარს</w:t>
      </w:r>
      <w:r w:rsidR="00C31E8B">
        <w:rPr>
          <w:sz w:val="20"/>
          <w:szCs w:val="20"/>
          <w:lang w:val="ka-GE"/>
        </w:rPr>
        <w:t>, ადგილობრივი არაპირდაპირი</w:t>
      </w:r>
      <w:r w:rsidRPr="008D129D">
        <w:rPr>
          <w:sz w:val="20"/>
          <w:szCs w:val="20"/>
          <w:lang w:val="ka-GE"/>
        </w:rPr>
        <w:t xml:space="preserve"> გადასახადების ჩათვლით. ხელშეკრულება ფორმდება საქართველოსა და აზიის განვითარების ბანკს შორის 2019 წლის 27 ნოემბერს გაფორმებული სასესხო შეთანხმების (აღმოსავლეთ-დასავლეთის მაგისტრალის (შორაპანი</w:t>
      </w:r>
      <w:r w:rsidR="00971190">
        <w:rPr>
          <w:sz w:val="20"/>
          <w:szCs w:val="20"/>
          <w:lang w:val="ka-GE"/>
        </w:rPr>
        <w:t>-</w:t>
      </w:r>
      <w:r w:rsidRPr="008D129D">
        <w:rPr>
          <w:sz w:val="20"/>
          <w:szCs w:val="20"/>
          <w:lang w:val="ka-GE"/>
        </w:rPr>
        <w:t xml:space="preserve">არგვეთას მონაკვეთი) გაუმჯობესების პროექტი) ფარგლებში, რომელიც რატიფიცირებულია </w:t>
      </w:r>
      <w:r w:rsidR="00971190">
        <w:rPr>
          <w:sz w:val="20"/>
          <w:szCs w:val="20"/>
          <w:lang w:val="ka-GE"/>
        </w:rPr>
        <w:t>„</w:t>
      </w:r>
      <w:r w:rsidR="00971190" w:rsidRPr="00971190">
        <w:rPr>
          <w:sz w:val="20"/>
          <w:szCs w:val="20"/>
          <w:lang w:val="ka-GE"/>
        </w:rPr>
        <w:t>საქართველოსა და აზიის განვითარების ბანკს შორის სასესხო შეთანხმების (ჩვეულებრივი ოპერაციები) (აღმოსავლეთ-დასავლეთის მაგისტრალის (შორაპანი-არგვეთას მონაკვეთი) გაუმჯობესების პროექტი)“ რატიფიცირების თაობაზე</w:t>
      </w:r>
      <w:r w:rsidR="00971190">
        <w:rPr>
          <w:sz w:val="20"/>
          <w:szCs w:val="20"/>
          <w:lang w:val="ka-GE"/>
        </w:rPr>
        <w:t xml:space="preserve">“ </w:t>
      </w:r>
      <w:r w:rsidRPr="008D129D">
        <w:rPr>
          <w:sz w:val="20"/>
          <w:szCs w:val="20"/>
          <w:lang w:val="ka-GE"/>
        </w:rPr>
        <w:t>საქართველოს პარლამენტის 2019 წლის 13 დეკემბრის</w:t>
      </w:r>
      <w:r w:rsidR="005E6D65" w:rsidRPr="008D129D">
        <w:rPr>
          <w:sz w:val="20"/>
          <w:szCs w:val="20"/>
          <w:lang w:val="ka-GE"/>
        </w:rPr>
        <w:t xml:space="preserve"> </w:t>
      </w:r>
      <w:r w:rsidR="00971190">
        <w:rPr>
          <w:sz w:val="20"/>
          <w:szCs w:val="20"/>
          <w:lang w:val="ka-GE"/>
        </w:rPr>
        <w:t>№</w:t>
      </w:r>
      <w:r w:rsidRPr="008D129D">
        <w:rPr>
          <w:sz w:val="20"/>
          <w:szCs w:val="20"/>
          <w:lang w:val="ka-GE"/>
        </w:rPr>
        <w:t>5571-lს დადგენილებით.</w:t>
      </w:r>
    </w:p>
    <w:p w:rsidR="00F163E2" w:rsidRPr="008D129D" w:rsidRDefault="00CC6C75" w:rsidP="00F163E2">
      <w:pPr>
        <w:spacing w:after="0" w:line="240" w:lineRule="auto"/>
        <w:ind w:left="0" w:right="0" w:firstLine="720"/>
        <w:rPr>
          <w:sz w:val="20"/>
          <w:szCs w:val="20"/>
          <w:lang w:val="ka-GE"/>
        </w:rPr>
      </w:pPr>
      <w:r w:rsidRPr="008D129D">
        <w:rPr>
          <w:sz w:val="20"/>
          <w:szCs w:val="20"/>
          <w:lang w:val="ka-GE"/>
        </w:rPr>
        <w:t>ხაზგასასმელია ის გარემოება, რომ ხელშეკრულების ფარგლებში განხორციელებული შესყიდვების პროცედურები განხორციელდა აზიის განვითარების ბანკის მიერ</w:t>
      </w:r>
      <w:r w:rsidR="0038183B">
        <w:rPr>
          <w:sz w:val="20"/>
          <w:szCs w:val="20"/>
          <w:lang w:val="ka-GE"/>
        </w:rPr>
        <w:t xml:space="preserve"> </w:t>
      </w:r>
      <w:r w:rsidRPr="008D129D">
        <w:rPr>
          <w:sz w:val="20"/>
          <w:szCs w:val="20"/>
          <w:lang w:val="ka-GE"/>
        </w:rPr>
        <w:t>შემუშავებული შესყიდვების სახელმძღვანელოს (Procurement Regulations for ADB Borrowers) შესაბამისად. უნდა აღინიშნოს, რომ ხელშეკრულების ღირებულება აღემატება 1 000 000 ლარს და დავის გადაწყვეტის მექანიზმად გათვალისწინებულია საერთაშორისო არბიტრაჟი.</w:t>
      </w:r>
    </w:p>
    <w:p w:rsidR="004C32C0" w:rsidRPr="00CC6C75" w:rsidRDefault="00CC6C75" w:rsidP="00F163E2">
      <w:pPr>
        <w:spacing w:after="0" w:line="240" w:lineRule="auto"/>
        <w:ind w:left="0" w:right="0" w:firstLine="720"/>
        <w:rPr>
          <w:sz w:val="20"/>
          <w:szCs w:val="20"/>
        </w:rPr>
      </w:pPr>
      <w:proofErr w:type="gramStart"/>
      <w:r w:rsidRPr="00CC6C75">
        <w:rPr>
          <w:sz w:val="20"/>
          <w:szCs w:val="20"/>
        </w:rPr>
        <w:t>ინტერესთა</w:t>
      </w:r>
      <w:proofErr w:type="gramEnd"/>
      <w:r w:rsidRPr="00CC6C75">
        <w:rPr>
          <w:sz w:val="20"/>
          <w:szCs w:val="20"/>
        </w:rPr>
        <w:t xml:space="preserve"> გამოხატვის მოთხოვნა მშენებლობის ზედამხედველობის მომსახურების შესყიდვაზე გამოცხადებულ იქნა 2019 წლის 1 ივნისს. </w:t>
      </w:r>
      <w:proofErr w:type="gramStart"/>
      <w:r w:rsidRPr="00CC6C75">
        <w:rPr>
          <w:sz w:val="20"/>
          <w:szCs w:val="20"/>
        </w:rPr>
        <w:t>ინტერესთა</w:t>
      </w:r>
      <w:proofErr w:type="gramEnd"/>
      <w:r w:rsidRPr="00CC6C75">
        <w:rPr>
          <w:sz w:val="20"/>
          <w:szCs w:val="20"/>
        </w:rPr>
        <w:t xml:space="preserve"> გამოხატვის საბოლოო ვადას წარმოადგენდა 2019 წლის 30 ივნისი. </w:t>
      </w:r>
      <w:proofErr w:type="gramStart"/>
      <w:r w:rsidRPr="00CC6C75">
        <w:rPr>
          <w:sz w:val="20"/>
          <w:szCs w:val="20"/>
        </w:rPr>
        <w:t>აღნიშნული</w:t>
      </w:r>
      <w:proofErr w:type="gramEnd"/>
      <w:r w:rsidRPr="00CC6C75">
        <w:rPr>
          <w:sz w:val="20"/>
          <w:szCs w:val="20"/>
        </w:rPr>
        <w:t xml:space="preserve"> ვადისთვის ინტერესი გამოხატა 32-მა კომპანიამ, კერძოდ:</w:t>
      </w:r>
    </w:p>
    <w:tbl>
      <w:tblPr>
        <w:tblStyle w:val="TableGrid"/>
        <w:tblW w:w="9035" w:type="dxa"/>
        <w:tblInd w:w="-4" w:type="dxa"/>
        <w:tblCellMar>
          <w:top w:w="64" w:type="dxa"/>
          <w:left w:w="108" w:type="dxa"/>
          <w:right w:w="53" w:type="dxa"/>
        </w:tblCellMar>
        <w:tblLook w:val="04A0" w:firstRow="1" w:lastRow="0" w:firstColumn="1" w:lastColumn="0" w:noHBand="0" w:noVBand="1"/>
      </w:tblPr>
      <w:tblGrid>
        <w:gridCol w:w="436"/>
        <w:gridCol w:w="5897"/>
        <w:gridCol w:w="2702"/>
      </w:tblGrid>
      <w:tr w:rsidR="004C32C0" w:rsidRPr="00CC6C75">
        <w:trPr>
          <w:trHeight w:val="857"/>
        </w:trPr>
        <w:tc>
          <w:tcPr>
            <w:tcW w:w="436" w:type="dxa"/>
            <w:tcBorders>
              <w:top w:val="single" w:sz="12" w:space="0" w:color="000000"/>
              <w:left w:val="single" w:sz="12" w:space="0" w:color="000000"/>
              <w:bottom w:val="single" w:sz="12"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b/>
                <w:sz w:val="20"/>
                <w:szCs w:val="20"/>
              </w:rPr>
              <w:lastRenderedPageBreak/>
              <w:t>N</w:t>
            </w:r>
          </w:p>
        </w:tc>
        <w:tc>
          <w:tcPr>
            <w:tcW w:w="5897" w:type="dxa"/>
            <w:tcBorders>
              <w:top w:val="single" w:sz="12" w:space="0" w:color="000000"/>
              <w:left w:val="single" w:sz="8" w:space="0" w:color="000000"/>
              <w:bottom w:val="single" w:sz="12"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b/>
                <w:sz w:val="20"/>
                <w:szCs w:val="20"/>
              </w:rPr>
              <w:t>კონსულტანტის დასახელება</w:t>
            </w:r>
          </w:p>
        </w:tc>
        <w:tc>
          <w:tcPr>
            <w:tcW w:w="2702" w:type="dxa"/>
            <w:tcBorders>
              <w:top w:val="single" w:sz="12" w:space="0" w:color="000000"/>
              <w:left w:val="single" w:sz="8" w:space="0" w:color="000000"/>
              <w:bottom w:val="single" w:sz="12"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b/>
                <w:sz w:val="20"/>
                <w:szCs w:val="20"/>
              </w:rPr>
              <w:t>ქვეყანა</w:t>
            </w:r>
          </w:p>
        </w:tc>
      </w:tr>
      <w:tr w:rsidR="004C32C0" w:rsidRPr="00CC6C75" w:rsidTr="001106D4">
        <w:trPr>
          <w:trHeight w:val="397"/>
        </w:trPr>
        <w:tc>
          <w:tcPr>
            <w:tcW w:w="436" w:type="dxa"/>
            <w:tcBorders>
              <w:top w:val="single" w:sz="12" w:space="0" w:color="000000"/>
              <w:left w:val="single" w:sz="12" w:space="0" w:color="000000"/>
              <w:bottom w:val="single" w:sz="12" w:space="0" w:color="000000"/>
              <w:right w:val="single" w:sz="8"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w:t>
            </w:r>
          </w:p>
        </w:tc>
        <w:tc>
          <w:tcPr>
            <w:tcW w:w="5897" w:type="dxa"/>
            <w:tcBorders>
              <w:top w:val="single" w:sz="12" w:space="0" w:color="000000"/>
              <w:left w:val="single" w:sz="8" w:space="0" w:color="000000"/>
              <w:bottom w:val="single" w:sz="12"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Minconsult Sdn. Bhd. </w:t>
            </w:r>
          </w:p>
        </w:tc>
        <w:tc>
          <w:tcPr>
            <w:tcW w:w="2702" w:type="dxa"/>
            <w:tcBorders>
              <w:top w:val="single" w:sz="12" w:space="0" w:color="000000"/>
              <w:left w:val="single" w:sz="8" w:space="0" w:color="000000"/>
              <w:bottom w:val="single" w:sz="12"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MAL</w:t>
            </w:r>
          </w:p>
        </w:tc>
      </w:tr>
      <w:tr w:rsidR="004C32C0" w:rsidRPr="00CC6C75" w:rsidTr="001106D4">
        <w:trPr>
          <w:trHeight w:val="442"/>
        </w:trPr>
        <w:tc>
          <w:tcPr>
            <w:tcW w:w="436" w:type="dxa"/>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w:t>
            </w:r>
          </w:p>
        </w:tc>
        <w:tc>
          <w:tcPr>
            <w:tcW w:w="5897"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Roughton International Ltd </w:t>
            </w:r>
          </w:p>
        </w:tc>
        <w:tc>
          <w:tcPr>
            <w:tcW w:w="2702"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UKG</w:t>
            </w:r>
          </w:p>
        </w:tc>
      </w:tr>
      <w:tr w:rsidR="004C32C0" w:rsidRPr="00CC6C75">
        <w:trPr>
          <w:trHeight w:val="416"/>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3</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Pyunghwa Engineering Consultants Ltd</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1106D4">
        <w:trPr>
          <w:trHeight w:val="408"/>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Kocks Consult Gmbh</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GER</w:t>
            </w:r>
          </w:p>
        </w:tc>
      </w:tr>
      <w:tr w:rsidR="004C32C0" w:rsidRPr="00CC6C75">
        <w:trPr>
          <w:trHeight w:val="417"/>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4</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Renardet S.A.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SWI</w:t>
            </w:r>
          </w:p>
        </w:tc>
      </w:tr>
      <w:tr w:rsidR="004C32C0" w:rsidRPr="00CC6C75">
        <w:trPr>
          <w:trHeight w:val="409"/>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IDC Ltd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rPr>
          <w:trHeight w:val="425"/>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5</w:t>
            </w:r>
          </w:p>
        </w:tc>
        <w:tc>
          <w:tcPr>
            <w:tcW w:w="5897"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Japan Overseas Consultants Co., Ltd</w:t>
            </w:r>
          </w:p>
        </w:tc>
        <w:tc>
          <w:tcPr>
            <w:tcW w:w="2702"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JPN</w:t>
            </w:r>
          </w:p>
        </w:tc>
      </w:tr>
      <w:tr w:rsidR="004C32C0" w:rsidRPr="00CC6C75">
        <w:trPr>
          <w:trHeight w:val="425"/>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Orient Research</w:t>
            </w:r>
          </w:p>
        </w:tc>
        <w:tc>
          <w:tcPr>
            <w:tcW w:w="2702"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rPr>
          <w:trHeight w:val="440"/>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6</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Dohwa Engineering Co., Ltd.</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1106D4">
        <w:trPr>
          <w:trHeight w:val="417"/>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Kunhwa Engineering &amp; Consulting Co., Ltd.</w:t>
            </w:r>
          </w:p>
        </w:tc>
        <w:tc>
          <w:tcPr>
            <w:tcW w:w="2702"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1106D4">
        <w:trPr>
          <w:trHeight w:val="462"/>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Temelsu International Engineering Services Inc.</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1106D4">
        <w:trPr>
          <w:trHeight w:val="442"/>
        </w:trPr>
        <w:tc>
          <w:tcPr>
            <w:tcW w:w="436" w:type="dxa"/>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7</w:t>
            </w:r>
          </w:p>
        </w:tc>
        <w:tc>
          <w:tcPr>
            <w:tcW w:w="5897"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SOOSUNG ENGINEERING CO., LTD</w:t>
            </w:r>
          </w:p>
        </w:tc>
        <w:tc>
          <w:tcPr>
            <w:tcW w:w="2702"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rPr>
          <w:trHeight w:val="394"/>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8</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Yooshin Engineering Corporati</w:t>
            </w:r>
            <w:r w:rsidRPr="00CC6C75">
              <w:rPr>
                <w:i/>
                <w:sz w:val="20"/>
                <w:szCs w:val="20"/>
              </w:rPr>
              <w:t>o</w:t>
            </w:r>
            <w:r w:rsidRPr="00CC6C75">
              <w:rPr>
                <w:sz w:val="20"/>
                <w:szCs w:val="20"/>
              </w:rPr>
              <w:t xml:space="preserve">n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rPr>
          <w:trHeight w:val="412"/>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Nievelt Ingenieur GmbH</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AUS</w:t>
            </w:r>
          </w:p>
        </w:tc>
      </w:tr>
      <w:tr w:rsidR="004C32C0" w:rsidRPr="00CC6C75" w:rsidTr="001106D4">
        <w:trPr>
          <w:trHeight w:val="408"/>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Roads Rehabilitation and Modernization Supervision Direction Ltd </w:t>
            </w:r>
          </w:p>
        </w:tc>
        <w:tc>
          <w:tcPr>
            <w:tcW w:w="2702"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rPr>
          <w:trHeight w:val="418"/>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WAPCOS Limited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IND</w:t>
            </w:r>
          </w:p>
        </w:tc>
      </w:tr>
      <w:tr w:rsidR="004C32C0" w:rsidRPr="00CC6C75">
        <w:trPr>
          <w:trHeight w:val="433"/>
        </w:trPr>
        <w:tc>
          <w:tcPr>
            <w:tcW w:w="436" w:type="dxa"/>
            <w:tcBorders>
              <w:top w:val="single" w:sz="12" w:space="0" w:color="000000"/>
              <w:left w:val="single" w:sz="12" w:space="0" w:color="000000"/>
              <w:bottom w:val="single" w:sz="12" w:space="0" w:color="000000"/>
              <w:right w:val="single" w:sz="4" w:space="0" w:color="000000"/>
            </w:tcBorders>
          </w:tcPr>
          <w:p w:rsidR="004C32C0" w:rsidRPr="00226050" w:rsidRDefault="00CC6C75" w:rsidP="00CC6C75">
            <w:pPr>
              <w:spacing w:after="0" w:line="240" w:lineRule="auto"/>
              <w:ind w:left="0" w:right="0" w:firstLine="0"/>
              <w:rPr>
                <w:sz w:val="20"/>
                <w:szCs w:val="20"/>
              </w:rPr>
            </w:pPr>
            <w:r w:rsidRPr="00226050">
              <w:rPr>
                <w:sz w:val="20"/>
                <w:szCs w:val="20"/>
              </w:rPr>
              <w:t>9</w:t>
            </w:r>
          </w:p>
        </w:tc>
        <w:tc>
          <w:tcPr>
            <w:tcW w:w="5897"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Beza Consulting Inc</w:t>
            </w:r>
          </w:p>
        </w:tc>
        <w:tc>
          <w:tcPr>
            <w:tcW w:w="2702"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USA</w:t>
            </w:r>
          </w:p>
        </w:tc>
      </w:tr>
      <w:tr w:rsidR="004C32C0" w:rsidRPr="00CC6C75">
        <w:trPr>
          <w:trHeight w:val="400"/>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10</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BOTEK Bosphorus Technical Consulting Corp.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rPr>
          <w:trHeight w:val="468"/>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ART Environmental Technologies Inc.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1106D4">
        <w:trPr>
          <w:trHeight w:val="480"/>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MEGA Engineering &amp; Consultancy Company </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rPr>
          <w:trHeight w:val="564"/>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11</w:t>
            </w:r>
          </w:p>
        </w:tc>
        <w:tc>
          <w:tcPr>
            <w:tcW w:w="5897"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Dongsung Engineering Co., Ltd </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1106D4">
        <w:trPr>
          <w:trHeight w:val="435"/>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Dongmyeong Engineering Consultants &amp; Architecture Co., </w:t>
            </w:r>
          </w:p>
          <w:p w:rsidR="004C32C0" w:rsidRPr="00CC6C75" w:rsidRDefault="00CC6C75" w:rsidP="00CC6C75">
            <w:pPr>
              <w:spacing w:after="0" w:line="240" w:lineRule="auto"/>
              <w:ind w:left="0" w:right="0" w:firstLine="0"/>
              <w:rPr>
                <w:sz w:val="20"/>
                <w:szCs w:val="20"/>
              </w:rPr>
            </w:pPr>
            <w:r w:rsidRPr="00CC6C75">
              <w:rPr>
                <w:sz w:val="20"/>
                <w:szCs w:val="20"/>
              </w:rPr>
              <w:t>Ltd</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rPr>
          <w:trHeight w:val="416"/>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12</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Hill International N.V.</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NET</w:t>
            </w:r>
          </w:p>
        </w:tc>
      </w:tr>
      <w:tr w:rsidR="004C32C0" w:rsidRPr="00CC6C75">
        <w:trPr>
          <w:trHeight w:val="425"/>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IUB Engineering Ltd</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SWI</w:t>
            </w:r>
          </w:p>
        </w:tc>
      </w:tr>
      <w:tr w:rsidR="004C32C0" w:rsidRPr="00CC6C75" w:rsidTr="001106D4">
        <w:trPr>
          <w:trHeight w:val="453"/>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YUKSEL PROJE ULUSLARARASI A.S.</w:t>
            </w:r>
          </w:p>
        </w:tc>
        <w:tc>
          <w:tcPr>
            <w:tcW w:w="2702"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rPr>
          <w:trHeight w:val="379"/>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IM Engineering Eurasia</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478"/>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lastRenderedPageBreak/>
              <w:t>13</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Technital S.p.A</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tblPrEx>
          <w:tblCellMar>
            <w:top w:w="30" w:type="dxa"/>
          </w:tblCellMar>
        </w:tblPrEx>
        <w:trPr>
          <w:trHeight w:val="408"/>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Saman Corporation</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blPrEx>
          <w:tblCellMar>
            <w:top w:w="30" w:type="dxa"/>
          </w:tblCellMar>
        </w:tblPrEx>
        <w:trPr>
          <w:trHeight w:val="439"/>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IDC Ltd</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569"/>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14</w:t>
            </w:r>
          </w:p>
        </w:tc>
        <w:tc>
          <w:tcPr>
            <w:tcW w:w="5897"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EPTISA SERVICIOS DE INGENIERIA S.L.</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tblPrEx>
          <w:tblCellMar>
            <w:top w:w="30" w:type="dxa"/>
          </w:tblCellMar>
        </w:tblPrEx>
        <w:trPr>
          <w:trHeight w:val="557"/>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ANAS INTERNATIONAL ENTERPRISE S.p.A.</w:t>
            </w:r>
          </w:p>
        </w:tc>
        <w:tc>
          <w:tcPr>
            <w:tcW w:w="2702"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tblPrEx>
          <w:tblCellMar>
            <w:top w:w="30" w:type="dxa"/>
          </w:tblCellMar>
        </w:tblPrEx>
        <w:trPr>
          <w:trHeight w:val="575"/>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TPF GETINSA EUROESTUDIOS, S.L</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rsidTr="001106D4">
        <w:tblPrEx>
          <w:tblCellMar>
            <w:top w:w="30" w:type="dxa"/>
          </w:tblCellMar>
        </w:tblPrEx>
        <w:trPr>
          <w:trHeight w:val="422"/>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15</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1106D4">
            <w:pPr>
              <w:spacing w:after="0" w:line="240" w:lineRule="auto"/>
              <w:ind w:left="0" w:right="0" w:firstLine="0"/>
              <w:rPr>
                <w:sz w:val="20"/>
                <w:szCs w:val="20"/>
              </w:rPr>
            </w:pPr>
            <w:r w:rsidRPr="00CC6C75">
              <w:rPr>
                <w:sz w:val="20"/>
                <w:szCs w:val="20"/>
              </w:rPr>
              <w:t>GEOCONSULT ESPAÑA INGENIEROS CONSULTORES</w:t>
            </w:r>
            <w:r w:rsidR="001106D4">
              <w:rPr>
                <w:sz w:val="20"/>
                <w:szCs w:val="20"/>
                <w:lang w:val="ka-GE"/>
              </w:rPr>
              <w:t xml:space="preserve"> </w:t>
            </w:r>
            <w:r w:rsidRPr="00CC6C75">
              <w:rPr>
                <w:sz w:val="20"/>
                <w:szCs w:val="20"/>
              </w:rPr>
              <w:t>S.A.</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rsidTr="001106D4">
        <w:tblPrEx>
          <w:tblCellMar>
            <w:top w:w="30" w:type="dxa"/>
          </w:tblCellMar>
        </w:tblPrEx>
        <w:trPr>
          <w:trHeight w:val="397"/>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Kyong Dong Engineering Co.,</w:t>
            </w:r>
          </w:p>
        </w:tc>
        <w:tc>
          <w:tcPr>
            <w:tcW w:w="2702" w:type="dxa"/>
            <w:tcBorders>
              <w:top w:val="single" w:sz="4"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blPrEx>
          <w:tblCellMar>
            <w:top w:w="30" w:type="dxa"/>
          </w:tblCellMar>
        </w:tblPrEx>
        <w:trPr>
          <w:trHeight w:val="417"/>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IDC Ltd</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rsidTr="001106D4">
        <w:tblPrEx>
          <w:tblCellMar>
            <w:top w:w="30" w:type="dxa"/>
          </w:tblCellMar>
        </w:tblPrEx>
        <w:trPr>
          <w:trHeight w:val="386"/>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16</w:t>
            </w:r>
          </w:p>
        </w:tc>
        <w:tc>
          <w:tcPr>
            <w:tcW w:w="5897"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Geodata SpA</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rsidTr="001106D4">
        <w:tblPrEx>
          <w:tblCellMar>
            <w:top w:w="30" w:type="dxa"/>
          </w:tblCellMar>
        </w:tblPrEx>
        <w:trPr>
          <w:trHeight w:val="316"/>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DONGBU Engineering Co., Ltd.</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tblPrEx>
          <w:tblCellMar>
            <w:top w:w="30" w:type="dxa"/>
          </w:tblCellMar>
        </w:tblPrEx>
        <w:trPr>
          <w:trHeight w:val="300"/>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S.I.N.A. S.p.A</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tblPrEx>
          <w:tblCellMar>
            <w:top w:w="30" w:type="dxa"/>
          </w:tblCellMar>
        </w:tblPrEx>
        <w:trPr>
          <w:trHeight w:val="310"/>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SITECO srl</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tblPrEx>
          <w:tblCellMar>
            <w:top w:w="30" w:type="dxa"/>
          </w:tblCellMar>
        </w:tblPrEx>
        <w:trPr>
          <w:trHeight w:val="320"/>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Engineering Solutions LLC</w:t>
            </w:r>
          </w:p>
        </w:tc>
        <w:tc>
          <w:tcPr>
            <w:tcW w:w="2702"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rsidTr="001106D4">
        <w:tblPrEx>
          <w:tblCellMar>
            <w:top w:w="30" w:type="dxa"/>
          </w:tblCellMar>
        </w:tblPrEx>
        <w:trPr>
          <w:trHeight w:val="494"/>
        </w:trPr>
        <w:tc>
          <w:tcPr>
            <w:tcW w:w="436" w:type="dxa"/>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17</w:t>
            </w:r>
          </w:p>
        </w:tc>
        <w:tc>
          <w:tcPr>
            <w:tcW w:w="5897"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PROYAPI Engineering and Consultancy Incorporation </w:t>
            </w:r>
          </w:p>
        </w:tc>
        <w:tc>
          <w:tcPr>
            <w:tcW w:w="2702"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431"/>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18</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CDM International Inc.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USA</w:t>
            </w:r>
          </w:p>
        </w:tc>
      </w:tr>
      <w:tr w:rsidR="004C32C0" w:rsidRPr="00CC6C75">
        <w:tblPrEx>
          <w:tblCellMar>
            <w:top w:w="30" w:type="dxa"/>
          </w:tblCellMar>
        </w:tblPrEx>
        <w:trPr>
          <w:trHeight w:val="361"/>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CDM Smith Europe GmbH</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GER</w:t>
            </w:r>
          </w:p>
        </w:tc>
      </w:tr>
      <w:tr w:rsidR="004C32C0" w:rsidRPr="00CC6C75">
        <w:tblPrEx>
          <w:tblCellMar>
            <w:top w:w="30" w:type="dxa"/>
          </w:tblCellMar>
        </w:tblPrEx>
        <w:trPr>
          <w:trHeight w:val="310"/>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Saunders Group Ltd</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436"/>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19</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Tera International Group, Inc.</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USA</w:t>
            </w:r>
          </w:p>
        </w:tc>
      </w:tr>
      <w:tr w:rsidR="004C32C0" w:rsidRPr="00CC6C75" w:rsidTr="001106D4">
        <w:tblPrEx>
          <w:tblCellMar>
            <w:top w:w="30" w:type="dxa"/>
          </w:tblCellMar>
        </w:tblPrEx>
        <w:trPr>
          <w:trHeight w:val="379"/>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1106D4">
            <w:pPr>
              <w:spacing w:after="0" w:line="240" w:lineRule="auto"/>
              <w:ind w:left="0" w:right="0" w:firstLine="0"/>
              <w:rPr>
                <w:sz w:val="20"/>
                <w:szCs w:val="20"/>
              </w:rPr>
            </w:pPr>
            <w:r w:rsidRPr="00CC6C75">
              <w:rPr>
                <w:sz w:val="20"/>
                <w:szCs w:val="20"/>
              </w:rPr>
              <w:t>BCT İNŞAAT MİMARLIK MÜHENDİSLİK MÜŞAVİRLİK</w:t>
            </w:r>
            <w:r w:rsidR="001106D4">
              <w:rPr>
                <w:sz w:val="20"/>
                <w:szCs w:val="20"/>
                <w:lang w:val="ka-GE"/>
              </w:rPr>
              <w:t xml:space="preserve"> </w:t>
            </w:r>
            <w:r w:rsidRPr="00CC6C75">
              <w:rPr>
                <w:sz w:val="20"/>
                <w:szCs w:val="20"/>
              </w:rPr>
              <w:t>A.Ş.</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599"/>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20</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Aarvee Associates Architects Engineers and Consultants Private Limited </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IND</w:t>
            </w:r>
          </w:p>
        </w:tc>
      </w:tr>
      <w:tr w:rsidR="004C32C0" w:rsidRPr="00CC6C75">
        <w:tblPrEx>
          <w:tblCellMar>
            <w:top w:w="30" w:type="dxa"/>
          </w:tblCellMar>
        </w:tblPrEx>
        <w:trPr>
          <w:trHeight w:val="425"/>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ZS ENGINEERING LLP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KAZ</w:t>
            </w:r>
          </w:p>
        </w:tc>
      </w:tr>
      <w:tr w:rsidR="004C32C0" w:rsidRPr="00CC6C75">
        <w:tblPrEx>
          <w:tblCellMar>
            <w:top w:w="30" w:type="dxa"/>
          </w:tblCellMar>
        </w:tblPrEx>
        <w:trPr>
          <w:trHeight w:val="414"/>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PROEQTMSHENKOMPANI LTD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609"/>
        </w:trPr>
        <w:tc>
          <w:tcPr>
            <w:tcW w:w="436" w:type="dxa"/>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21</w:t>
            </w:r>
          </w:p>
        </w:tc>
        <w:tc>
          <w:tcPr>
            <w:tcW w:w="5897" w:type="dxa"/>
            <w:tcBorders>
              <w:top w:val="single" w:sz="12"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CENTRO DE ESTUDIOS DE MATERIALES Y CONTROL DE OBRA, S.A. </w:t>
            </w:r>
          </w:p>
        </w:tc>
        <w:tc>
          <w:tcPr>
            <w:tcW w:w="2702"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tblPrEx>
          <w:tblCellMar>
            <w:top w:w="30" w:type="dxa"/>
          </w:tblCellMar>
        </w:tblPrEx>
        <w:trPr>
          <w:trHeight w:val="334"/>
        </w:trPr>
        <w:tc>
          <w:tcPr>
            <w:tcW w:w="436" w:type="dxa"/>
            <w:tcBorders>
              <w:top w:val="single" w:sz="12" w:space="0" w:color="000000"/>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12" w:space="0" w:color="000000"/>
              <w:left w:val="single" w:sz="4" w:space="0" w:color="000000"/>
              <w:bottom w:val="nil"/>
              <w:right w:val="single" w:sz="4" w:space="0" w:color="000000"/>
            </w:tcBorders>
          </w:tcPr>
          <w:p w:rsidR="004C32C0" w:rsidRPr="00CC6C75" w:rsidRDefault="00CC6C75" w:rsidP="001106D4">
            <w:pPr>
              <w:spacing w:after="0" w:line="240" w:lineRule="auto"/>
              <w:ind w:left="0" w:right="0" w:firstLine="0"/>
              <w:rPr>
                <w:sz w:val="20"/>
                <w:szCs w:val="20"/>
              </w:rPr>
            </w:pPr>
            <w:r w:rsidRPr="00CC6C75">
              <w:rPr>
                <w:sz w:val="20"/>
                <w:szCs w:val="20"/>
              </w:rPr>
              <w:t>ULUSLARARASI BİRLEŞMİŞ MÜŞAVİRLER MÜŞAVİRLİK</w:t>
            </w:r>
          </w:p>
        </w:tc>
        <w:tc>
          <w:tcPr>
            <w:tcW w:w="2702" w:type="dxa"/>
            <w:tcBorders>
              <w:top w:val="single" w:sz="12" w:space="0" w:color="000000"/>
              <w:left w:val="single" w:sz="4" w:space="0" w:color="000000"/>
              <w:bottom w:val="nil"/>
              <w:right w:val="single" w:sz="4" w:space="0" w:color="000000"/>
            </w:tcBorders>
          </w:tcPr>
          <w:p w:rsidR="004C32C0" w:rsidRPr="00CC6C75" w:rsidRDefault="004C32C0" w:rsidP="00CC6C75">
            <w:pPr>
              <w:spacing w:after="0" w:line="240" w:lineRule="auto"/>
              <w:ind w:left="0" w:right="0" w:firstLine="0"/>
              <w:rPr>
                <w:sz w:val="20"/>
                <w:szCs w:val="20"/>
              </w:rPr>
            </w:pPr>
          </w:p>
        </w:tc>
      </w:tr>
      <w:tr w:rsidR="004C32C0" w:rsidRPr="00CC6C75">
        <w:tblPrEx>
          <w:tblCellMar>
            <w:top w:w="30" w:type="dxa"/>
          </w:tblCellMar>
        </w:tblPrEx>
        <w:trPr>
          <w:trHeight w:val="555"/>
        </w:trPr>
        <w:tc>
          <w:tcPr>
            <w:tcW w:w="436" w:type="dxa"/>
            <w:vMerge w:val="restart"/>
            <w:tcBorders>
              <w:top w:val="nil"/>
              <w:left w:val="single" w:sz="12" w:space="0" w:color="000000"/>
              <w:bottom w:val="single" w:sz="12" w:space="0" w:color="000000"/>
              <w:right w:val="single" w:sz="4" w:space="0" w:color="000000"/>
            </w:tcBorders>
          </w:tcPr>
          <w:p w:rsidR="004C32C0" w:rsidRPr="00226050" w:rsidRDefault="00CC6C75" w:rsidP="00CC6C75">
            <w:pPr>
              <w:spacing w:after="0" w:line="240" w:lineRule="auto"/>
              <w:ind w:left="0" w:right="0" w:firstLine="0"/>
              <w:rPr>
                <w:sz w:val="20"/>
                <w:szCs w:val="20"/>
              </w:rPr>
            </w:pPr>
            <w:r w:rsidRPr="00226050">
              <w:rPr>
                <w:sz w:val="20"/>
                <w:szCs w:val="20"/>
              </w:rPr>
              <w:t>22</w:t>
            </w:r>
          </w:p>
        </w:tc>
        <w:tc>
          <w:tcPr>
            <w:tcW w:w="5897" w:type="dxa"/>
            <w:tcBorders>
              <w:top w:val="nil"/>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HİZMETLERİ A.Ş. UBM INTERNATIONAL UNITED CONSULTANTS INC. </w:t>
            </w:r>
          </w:p>
        </w:tc>
        <w:tc>
          <w:tcPr>
            <w:tcW w:w="2702" w:type="dxa"/>
            <w:tcBorders>
              <w:top w:val="nil"/>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417"/>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SMEC International Pty Ltd</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AUS</w:t>
            </w:r>
          </w:p>
        </w:tc>
      </w:tr>
      <w:tr w:rsidR="004C32C0" w:rsidRPr="00CC6C75">
        <w:tblPrEx>
          <w:tblCellMar>
            <w:top w:w="30" w:type="dxa"/>
          </w:tblCellMar>
        </w:tblPrEx>
        <w:trPr>
          <w:trHeight w:val="433"/>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23</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Aim Texas Trading LLC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US</w:t>
            </w:r>
          </w:p>
        </w:tc>
      </w:tr>
      <w:tr w:rsidR="004C32C0" w:rsidRPr="00CC6C75">
        <w:tblPrEx>
          <w:tblCellMar>
            <w:top w:w="30" w:type="dxa"/>
          </w:tblCellMar>
        </w:tblPrEx>
        <w:trPr>
          <w:trHeight w:val="310"/>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Leader+</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854"/>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24</w:t>
            </w:r>
          </w:p>
        </w:tc>
        <w:tc>
          <w:tcPr>
            <w:tcW w:w="5897"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ALTINOK CONSULTING ENGINEERING INC. </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344"/>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 Intercontinental Consultants &amp; Technocrats Pvt. Ltd.</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IND</w:t>
            </w:r>
          </w:p>
        </w:tc>
      </w:tr>
      <w:tr w:rsidR="004C32C0" w:rsidRPr="00CC6C75">
        <w:tblPrEx>
          <w:tblCellMar>
            <w:top w:w="30" w:type="dxa"/>
          </w:tblCellMar>
        </w:tblPrEx>
        <w:trPr>
          <w:trHeight w:val="416"/>
        </w:trPr>
        <w:tc>
          <w:tcPr>
            <w:tcW w:w="436" w:type="dxa"/>
            <w:tcBorders>
              <w:top w:val="single" w:sz="12" w:space="0" w:color="000000"/>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RPA S.r.l.</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w:t>
            </w:r>
          </w:p>
        </w:tc>
      </w:tr>
      <w:tr w:rsidR="004C32C0" w:rsidRPr="00CC6C75" w:rsidTr="001106D4">
        <w:tblPrEx>
          <w:tblCellMar>
            <w:top w:w="30" w:type="dxa"/>
          </w:tblCellMar>
        </w:tblPrEx>
        <w:trPr>
          <w:trHeight w:val="431"/>
        </w:trPr>
        <w:tc>
          <w:tcPr>
            <w:tcW w:w="436" w:type="dxa"/>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25</w:t>
            </w:r>
          </w:p>
        </w:tc>
        <w:tc>
          <w:tcPr>
            <w:tcW w:w="5897"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BERNARD Ingenieure ZT GmbH </w:t>
            </w:r>
          </w:p>
        </w:tc>
        <w:tc>
          <w:tcPr>
            <w:tcW w:w="2702" w:type="dxa"/>
            <w:tcBorders>
              <w:top w:val="single" w:sz="12"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AUS</w:t>
            </w:r>
          </w:p>
        </w:tc>
      </w:tr>
      <w:tr w:rsidR="004C32C0" w:rsidRPr="00CC6C75">
        <w:tblPrEx>
          <w:tblCellMar>
            <w:top w:w="30" w:type="dxa"/>
          </w:tblCellMar>
        </w:tblPrEx>
        <w:trPr>
          <w:trHeight w:val="435"/>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26</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Egis International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r>
      <w:tr w:rsidR="004C32C0" w:rsidRPr="00CC6C75">
        <w:tblPrEx>
          <w:tblCellMar>
            <w:top w:w="30" w:type="dxa"/>
          </w:tblCellMar>
        </w:tblPrEx>
        <w:trPr>
          <w:trHeight w:val="431"/>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Egis Structures &amp; Environnement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r>
      <w:tr w:rsidR="004C32C0" w:rsidRPr="00CC6C75" w:rsidTr="001106D4">
        <w:tblPrEx>
          <w:tblCellMar>
            <w:top w:w="30" w:type="dxa"/>
          </w:tblCellMar>
        </w:tblPrEx>
        <w:trPr>
          <w:trHeight w:val="422"/>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27</w:t>
            </w:r>
          </w:p>
        </w:tc>
        <w:tc>
          <w:tcPr>
            <w:tcW w:w="5897"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BCL Associates Limited</w:t>
            </w:r>
          </w:p>
        </w:tc>
        <w:tc>
          <w:tcPr>
            <w:tcW w:w="2702" w:type="dxa"/>
            <w:tcBorders>
              <w:top w:val="single" w:sz="12" w:space="0" w:color="000000"/>
              <w:left w:val="single" w:sz="4" w:space="0" w:color="000000"/>
              <w:bottom w:val="single" w:sz="4"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BAN</w:t>
            </w:r>
          </w:p>
        </w:tc>
      </w:tr>
      <w:tr w:rsidR="004C32C0" w:rsidRPr="00CC6C75">
        <w:tblPrEx>
          <w:tblCellMar>
            <w:top w:w="30" w:type="dxa"/>
          </w:tblCellMar>
        </w:tblPrEx>
        <w:trPr>
          <w:trHeight w:val="421"/>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Span Travers Morgan International Pvt Ltd</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IND</w:t>
            </w:r>
          </w:p>
        </w:tc>
      </w:tr>
      <w:tr w:rsidR="004C32C0" w:rsidRPr="00CC6C75" w:rsidTr="001106D4">
        <w:tblPrEx>
          <w:tblCellMar>
            <w:top w:w="30" w:type="dxa"/>
          </w:tblCellMar>
        </w:tblPrEx>
        <w:trPr>
          <w:trHeight w:val="487"/>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Su-Yapi Engineering and Consulting Inc.</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395"/>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28</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Subterra Ingenieria S.L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tblPrEx>
          <w:tblCellMar>
            <w:top w:w="30" w:type="dxa"/>
          </w:tblCellMar>
        </w:tblPrEx>
        <w:trPr>
          <w:trHeight w:val="427"/>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Ardanuy Ingenieria, S.A.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tblPrEx>
          <w:tblCellMar>
            <w:top w:w="30" w:type="dxa"/>
          </w:tblCellMar>
        </w:tblPrEx>
        <w:trPr>
          <w:trHeight w:val="405"/>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Theme Engineering Services Pvt. Ltd.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IND</w:t>
            </w:r>
          </w:p>
        </w:tc>
      </w:tr>
      <w:tr w:rsidR="004C32C0" w:rsidRPr="00CC6C75">
        <w:tblPrEx>
          <w:tblCellMar>
            <w:top w:w="30" w:type="dxa"/>
          </w:tblCellMar>
        </w:tblPrEx>
        <w:trPr>
          <w:trHeight w:val="507"/>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PMCG – Policy and Management Consulting Group</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412"/>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29</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DOLSAR Engineering Limited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1106D4">
        <w:tblPrEx>
          <w:tblCellMar>
            <w:top w:w="30" w:type="dxa"/>
          </w:tblCellMar>
        </w:tblPrEx>
        <w:trPr>
          <w:trHeight w:val="532"/>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National Engineering Services Pakistan (Pvt.) Limited</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PAK</w:t>
            </w:r>
          </w:p>
        </w:tc>
      </w:tr>
      <w:tr w:rsidR="004C32C0" w:rsidRPr="00CC6C75">
        <w:tblPrEx>
          <w:tblCellMar>
            <w:top w:w="30" w:type="dxa"/>
          </w:tblCellMar>
        </w:tblPrEx>
        <w:trPr>
          <w:trHeight w:val="436"/>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30</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Oriental Consultants Global Co., Ltd.</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JAP</w:t>
            </w:r>
          </w:p>
        </w:tc>
      </w:tr>
      <w:tr w:rsidR="004C32C0" w:rsidRPr="00CC6C75">
        <w:tblPrEx>
          <w:tblCellMar>
            <w:top w:w="30" w:type="dxa"/>
          </w:tblCellMar>
        </w:tblPrEx>
        <w:trPr>
          <w:trHeight w:val="567"/>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Scientific, Project-Technological Enterprise Industry LLC</w:t>
            </w:r>
          </w:p>
        </w:tc>
        <w:tc>
          <w:tcPr>
            <w:tcW w:w="2702" w:type="dxa"/>
            <w:tcBorders>
              <w:top w:val="single" w:sz="4" w:space="0" w:color="000000"/>
              <w:left w:val="single" w:sz="4" w:space="0" w:color="000000"/>
              <w:bottom w:val="single" w:sz="12" w:space="0" w:color="000000"/>
              <w:right w:val="single" w:sz="4"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430"/>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31</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INACON Luhur Pertiwi, PT </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INO</w:t>
            </w:r>
          </w:p>
        </w:tc>
      </w:tr>
      <w:tr w:rsidR="004C32C0" w:rsidRPr="00CC6C75">
        <w:tblPrEx>
          <w:tblCellMar>
            <w:top w:w="30" w:type="dxa"/>
          </w:tblCellMar>
        </w:tblPrEx>
        <w:trPr>
          <w:trHeight w:val="416"/>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PT. Bina Karya (Persero)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INO</w:t>
            </w:r>
          </w:p>
        </w:tc>
      </w:tr>
      <w:tr w:rsidR="004C32C0" w:rsidRPr="00CC6C75">
        <w:tblPrEx>
          <w:tblCellMar>
            <w:top w:w="30" w:type="dxa"/>
          </w:tblCellMar>
        </w:tblPrEx>
        <w:trPr>
          <w:trHeight w:val="421"/>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PT. Virama Karya (Persero)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INO</w:t>
            </w:r>
          </w:p>
        </w:tc>
      </w:tr>
      <w:tr w:rsidR="004C32C0" w:rsidRPr="00CC6C75">
        <w:tblPrEx>
          <w:tblCellMar>
            <w:top w:w="30" w:type="dxa"/>
          </w:tblCellMar>
        </w:tblPrEx>
        <w:trPr>
          <w:trHeight w:val="413"/>
        </w:trPr>
        <w:tc>
          <w:tcPr>
            <w:tcW w:w="0" w:type="auto"/>
            <w:vMerge/>
            <w:tcBorders>
              <w:top w:val="nil"/>
              <w:left w:val="single" w:sz="12" w:space="0" w:color="000000"/>
              <w:bottom w:val="nil"/>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Engineering Solutions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tblPrEx>
          <w:tblCellMar>
            <w:top w:w="30" w:type="dxa"/>
          </w:tblCellMar>
        </w:tblPrEx>
        <w:trPr>
          <w:trHeight w:val="423"/>
        </w:trPr>
        <w:tc>
          <w:tcPr>
            <w:tcW w:w="0" w:type="auto"/>
            <w:vMerge/>
            <w:tcBorders>
              <w:top w:val="nil"/>
              <w:left w:val="single" w:sz="12" w:space="0" w:color="000000"/>
              <w:bottom w:val="single" w:sz="12" w:space="0" w:color="000000"/>
              <w:right w:val="single" w:sz="4" w:space="0" w:color="000000"/>
            </w:tcBorders>
          </w:tcPr>
          <w:p w:rsidR="004C32C0" w:rsidRPr="00226050"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Islohotkonsaltservis Ltd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UZB</w:t>
            </w:r>
          </w:p>
        </w:tc>
      </w:tr>
      <w:tr w:rsidR="004C32C0" w:rsidRPr="00CC6C75">
        <w:tblPrEx>
          <w:tblCellMar>
            <w:top w:w="30" w:type="dxa"/>
          </w:tblCellMar>
        </w:tblPrEx>
        <w:trPr>
          <w:trHeight w:val="419"/>
        </w:trPr>
        <w:tc>
          <w:tcPr>
            <w:tcW w:w="436" w:type="dxa"/>
            <w:vMerge w:val="restart"/>
            <w:tcBorders>
              <w:top w:val="single" w:sz="12" w:space="0" w:color="000000"/>
              <w:left w:val="single" w:sz="12" w:space="0" w:color="000000"/>
              <w:bottom w:val="single" w:sz="12" w:space="0" w:color="000000"/>
              <w:right w:val="single" w:sz="4" w:space="0" w:color="000000"/>
            </w:tcBorders>
            <w:vAlign w:val="center"/>
          </w:tcPr>
          <w:p w:rsidR="004C32C0" w:rsidRPr="00226050" w:rsidRDefault="00CC6C75" w:rsidP="00CC6C75">
            <w:pPr>
              <w:spacing w:after="0" w:line="240" w:lineRule="auto"/>
              <w:ind w:left="0" w:right="0" w:firstLine="0"/>
              <w:rPr>
                <w:sz w:val="20"/>
                <w:szCs w:val="20"/>
              </w:rPr>
            </w:pPr>
            <w:r w:rsidRPr="00226050">
              <w:rPr>
                <w:sz w:val="20"/>
                <w:szCs w:val="20"/>
              </w:rPr>
              <w:t>32</w:t>
            </w:r>
          </w:p>
        </w:tc>
        <w:tc>
          <w:tcPr>
            <w:tcW w:w="5897"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Tekfen Engineering</w:t>
            </w:r>
          </w:p>
        </w:tc>
        <w:tc>
          <w:tcPr>
            <w:tcW w:w="2702" w:type="dxa"/>
            <w:tcBorders>
              <w:top w:val="single" w:sz="12"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tblPrEx>
          <w:tblCellMar>
            <w:top w:w="30" w:type="dxa"/>
          </w:tblCellMar>
        </w:tblPrEx>
        <w:trPr>
          <w:trHeight w:val="427"/>
        </w:trPr>
        <w:tc>
          <w:tcPr>
            <w:tcW w:w="0" w:type="auto"/>
            <w:vMerge/>
            <w:tcBorders>
              <w:top w:val="nil"/>
              <w:left w:val="single" w:sz="12" w:space="0" w:color="000000"/>
              <w:bottom w:val="nil"/>
              <w:right w:val="single" w:sz="4" w:space="0" w:color="000000"/>
            </w:tcBorders>
          </w:tcPr>
          <w:p w:rsidR="004C32C0" w:rsidRPr="00CC6C75"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Geoconsult ZT GmbH </w:t>
            </w:r>
          </w:p>
        </w:tc>
        <w:tc>
          <w:tcPr>
            <w:tcW w:w="270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AUS</w:t>
            </w:r>
          </w:p>
        </w:tc>
      </w:tr>
      <w:tr w:rsidR="004C32C0" w:rsidRPr="00CC6C75">
        <w:tblPrEx>
          <w:tblCellMar>
            <w:top w:w="30" w:type="dxa"/>
          </w:tblCellMar>
        </w:tblPrEx>
        <w:trPr>
          <w:trHeight w:val="429"/>
        </w:trPr>
        <w:tc>
          <w:tcPr>
            <w:tcW w:w="0" w:type="auto"/>
            <w:vMerge/>
            <w:tcBorders>
              <w:top w:val="nil"/>
              <w:left w:val="single" w:sz="12" w:space="0" w:color="000000"/>
              <w:bottom w:val="single" w:sz="12" w:space="0" w:color="000000"/>
              <w:right w:val="single" w:sz="4" w:space="0" w:color="000000"/>
            </w:tcBorders>
          </w:tcPr>
          <w:p w:rsidR="004C32C0" w:rsidRPr="00CC6C75" w:rsidRDefault="004C32C0" w:rsidP="00CC6C75">
            <w:pPr>
              <w:spacing w:after="0" w:line="240" w:lineRule="auto"/>
              <w:ind w:left="0" w:right="0" w:firstLine="0"/>
              <w:rPr>
                <w:sz w:val="20"/>
                <w:szCs w:val="20"/>
              </w:rPr>
            </w:pPr>
          </w:p>
        </w:tc>
        <w:tc>
          <w:tcPr>
            <w:tcW w:w="5897"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Aksa Georgia Branch </w:t>
            </w:r>
          </w:p>
        </w:tc>
        <w:tc>
          <w:tcPr>
            <w:tcW w:w="2702" w:type="dxa"/>
            <w:tcBorders>
              <w:top w:val="single" w:sz="4" w:space="0" w:color="000000"/>
              <w:left w:val="single" w:sz="4" w:space="0" w:color="000000"/>
              <w:bottom w:val="single" w:sz="12"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bl>
    <w:p w:rsidR="004C32C0" w:rsidRPr="00CC6C75" w:rsidRDefault="00CC6C75" w:rsidP="00226050">
      <w:pPr>
        <w:spacing w:after="0" w:line="240" w:lineRule="auto"/>
        <w:ind w:left="0" w:right="0" w:firstLine="720"/>
        <w:rPr>
          <w:sz w:val="20"/>
          <w:szCs w:val="20"/>
        </w:rPr>
      </w:pPr>
      <w:proofErr w:type="gramStart"/>
      <w:r w:rsidRPr="00CC6C75">
        <w:rPr>
          <w:sz w:val="20"/>
          <w:szCs w:val="20"/>
        </w:rPr>
        <w:t>აქედან</w:t>
      </w:r>
      <w:proofErr w:type="gramEnd"/>
      <w:r w:rsidRPr="00CC6C75">
        <w:rPr>
          <w:sz w:val="20"/>
          <w:szCs w:val="20"/>
        </w:rPr>
        <w:t>, ე.წ. „მოკლე სიაში“ შეირჩა 6 საუკეთესო გამოცდილების მქონე კომპანია:</w:t>
      </w:r>
    </w:p>
    <w:tbl>
      <w:tblPr>
        <w:tblStyle w:val="TableGrid"/>
        <w:tblW w:w="9090" w:type="dxa"/>
        <w:tblInd w:w="-23" w:type="dxa"/>
        <w:tblCellMar>
          <w:top w:w="30" w:type="dxa"/>
          <w:left w:w="108" w:type="dxa"/>
          <w:right w:w="53" w:type="dxa"/>
        </w:tblCellMar>
        <w:tblLook w:val="04A0" w:firstRow="1" w:lastRow="0" w:firstColumn="1" w:lastColumn="0" w:noHBand="0" w:noVBand="1"/>
      </w:tblPr>
      <w:tblGrid>
        <w:gridCol w:w="311"/>
        <w:gridCol w:w="5867"/>
        <w:gridCol w:w="2912"/>
      </w:tblGrid>
      <w:tr w:rsidR="004C32C0" w:rsidRPr="00CC6C75" w:rsidTr="00226050">
        <w:trPr>
          <w:trHeight w:val="327"/>
        </w:trPr>
        <w:tc>
          <w:tcPr>
            <w:tcW w:w="311" w:type="dxa"/>
            <w:tcBorders>
              <w:top w:val="single" w:sz="18" w:space="0" w:color="000000"/>
              <w:left w:val="single" w:sz="18" w:space="0" w:color="000000"/>
              <w:bottom w:val="single" w:sz="12"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18" w:space="0" w:color="000000"/>
              <w:left w:val="single" w:sz="8" w:space="0" w:color="000000"/>
              <w:bottom w:val="single" w:sz="12"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b/>
                <w:sz w:val="20"/>
                <w:szCs w:val="20"/>
              </w:rPr>
              <w:t>კონსულტანტი</w:t>
            </w:r>
          </w:p>
        </w:tc>
        <w:tc>
          <w:tcPr>
            <w:tcW w:w="2912" w:type="dxa"/>
            <w:tcBorders>
              <w:top w:val="single" w:sz="18" w:space="0" w:color="000000"/>
              <w:left w:val="single" w:sz="8" w:space="0" w:color="000000"/>
              <w:bottom w:val="single" w:sz="12"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b/>
                <w:sz w:val="20"/>
                <w:szCs w:val="20"/>
              </w:rPr>
              <w:t>ქვეყანა</w:t>
            </w:r>
          </w:p>
        </w:tc>
      </w:tr>
      <w:tr w:rsidR="004C32C0" w:rsidRPr="00CC6C75" w:rsidTr="00226050">
        <w:trPr>
          <w:trHeight w:val="315"/>
        </w:trPr>
        <w:tc>
          <w:tcPr>
            <w:tcW w:w="311" w:type="dxa"/>
            <w:vMerge w:val="restart"/>
            <w:tcBorders>
              <w:top w:val="single" w:sz="12"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1.</w:t>
            </w:r>
          </w:p>
        </w:tc>
        <w:tc>
          <w:tcPr>
            <w:tcW w:w="5867" w:type="dxa"/>
            <w:tcBorders>
              <w:top w:val="single" w:sz="12"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Dohwa Engineering Co., Ltd.</w:t>
            </w:r>
          </w:p>
        </w:tc>
        <w:tc>
          <w:tcPr>
            <w:tcW w:w="2912" w:type="dxa"/>
            <w:tcBorders>
              <w:top w:val="single" w:sz="12"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226050">
        <w:trPr>
          <w:trHeight w:val="31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8"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Kunhwa Engineering &amp; Consulting Co., Ltd.</w:t>
            </w:r>
          </w:p>
        </w:tc>
        <w:tc>
          <w:tcPr>
            <w:tcW w:w="2912" w:type="dxa"/>
            <w:tcBorders>
              <w:top w:val="single" w:sz="8"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226050">
        <w:trPr>
          <w:trHeight w:val="330"/>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Temelsu International Engineering Services Inc.</w:t>
            </w:r>
          </w:p>
        </w:tc>
        <w:tc>
          <w:tcPr>
            <w:tcW w:w="2912"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226050">
        <w:trPr>
          <w:trHeight w:val="349"/>
        </w:trPr>
        <w:tc>
          <w:tcPr>
            <w:tcW w:w="311" w:type="dxa"/>
            <w:tcBorders>
              <w:top w:val="single" w:sz="24" w:space="0" w:color="000000"/>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24" w:space="0" w:color="000000"/>
              <w:left w:val="single" w:sz="8" w:space="0" w:color="000000"/>
              <w:bottom w:val="nil"/>
              <w:right w:val="single" w:sz="8" w:space="0" w:color="000000"/>
            </w:tcBorders>
          </w:tcPr>
          <w:p w:rsidR="004C32C0" w:rsidRPr="00CC6C75" w:rsidRDefault="00CC6C75" w:rsidP="00226050">
            <w:pPr>
              <w:spacing w:after="0" w:line="240" w:lineRule="auto"/>
              <w:ind w:left="0" w:right="0" w:firstLine="0"/>
              <w:rPr>
                <w:sz w:val="20"/>
                <w:szCs w:val="20"/>
              </w:rPr>
            </w:pPr>
            <w:r w:rsidRPr="00CC6C75">
              <w:rPr>
                <w:sz w:val="20"/>
                <w:szCs w:val="20"/>
              </w:rPr>
              <w:t>ULUSLARARASI BİRLEŞMİŞ MÜŞAVİRLER MÜŞAVİRLİK</w:t>
            </w:r>
          </w:p>
        </w:tc>
        <w:tc>
          <w:tcPr>
            <w:tcW w:w="2912" w:type="dxa"/>
            <w:tcBorders>
              <w:top w:val="single" w:sz="24" w:space="0" w:color="000000"/>
              <w:left w:val="single" w:sz="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560"/>
        </w:trPr>
        <w:tc>
          <w:tcPr>
            <w:tcW w:w="311" w:type="dxa"/>
            <w:vMerge w:val="restart"/>
            <w:tcBorders>
              <w:top w:val="nil"/>
              <w:left w:val="single" w:sz="1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2.</w:t>
            </w:r>
          </w:p>
        </w:tc>
        <w:tc>
          <w:tcPr>
            <w:tcW w:w="5867" w:type="dxa"/>
            <w:tcBorders>
              <w:top w:val="nil"/>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HİZMETLERİ A.Ş. UBM INTERNATIONAL UNITED CONSULTANTS INC. </w:t>
            </w:r>
          </w:p>
        </w:tc>
        <w:tc>
          <w:tcPr>
            <w:tcW w:w="2912" w:type="dxa"/>
            <w:tcBorders>
              <w:top w:val="nil"/>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226050">
        <w:trPr>
          <w:trHeight w:val="387"/>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SMEC International Pty Ltd</w:t>
            </w:r>
          </w:p>
        </w:tc>
        <w:tc>
          <w:tcPr>
            <w:tcW w:w="2912"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AUS</w:t>
            </w: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3.</w:t>
            </w:r>
          </w:p>
        </w:tc>
        <w:tc>
          <w:tcPr>
            <w:tcW w:w="5867"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Hill International N.V.</w:t>
            </w:r>
          </w:p>
        </w:tc>
        <w:tc>
          <w:tcPr>
            <w:tcW w:w="2912"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NET</w:t>
            </w:r>
          </w:p>
        </w:tc>
      </w:tr>
      <w:tr w:rsidR="004C32C0" w:rsidRPr="00CC6C75" w:rsidTr="00226050">
        <w:trPr>
          <w:trHeight w:val="419"/>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IUB Engineering Ltd</w:t>
            </w:r>
          </w:p>
        </w:tc>
        <w:tc>
          <w:tcPr>
            <w:tcW w:w="2912"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SWI</w:t>
            </w:r>
          </w:p>
        </w:tc>
      </w:tr>
      <w:tr w:rsidR="004C32C0" w:rsidRPr="00CC6C75" w:rsidTr="00226050">
        <w:trPr>
          <w:trHeight w:val="381"/>
        </w:trPr>
        <w:tc>
          <w:tcPr>
            <w:tcW w:w="311" w:type="dxa"/>
            <w:vMerge w:val="restart"/>
            <w:tcBorders>
              <w:top w:val="single" w:sz="24" w:space="0" w:color="000000"/>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YUKSEL PROJE ULUSLARARASI A.S.</w:t>
            </w:r>
          </w:p>
        </w:tc>
        <w:tc>
          <w:tcPr>
            <w:tcW w:w="2912"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IM Engineering Eurasia</w:t>
            </w:r>
          </w:p>
        </w:tc>
        <w:tc>
          <w:tcPr>
            <w:tcW w:w="2912"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4. </w:t>
            </w:r>
          </w:p>
        </w:tc>
        <w:tc>
          <w:tcPr>
            <w:tcW w:w="5867"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EPTISA SERVICIOS DE INGENIERIA S.L.</w:t>
            </w:r>
          </w:p>
        </w:tc>
        <w:tc>
          <w:tcPr>
            <w:tcW w:w="2912"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rsidTr="00226050">
        <w:trPr>
          <w:trHeight w:val="3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ANAS INTERNATIONAL ENTERPRISE S.p.A.</w:t>
            </w:r>
          </w:p>
        </w:tc>
        <w:tc>
          <w:tcPr>
            <w:tcW w:w="2912"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ITA</w:t>
            </w: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TPF GETINSA EUROESTUDIOS, S.L</w:t>
            </w:r>
          </w:p>
        </w:tc>
        <w:tc>
          <w:tcPr>
            <w:tcW w:w="2912"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nil"/>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5. </w:t>
            </w:r>
          </w:p>
        </w:tc>
        <w:tc>
          <w:tcPr>
            <w:tcW w:w="5867"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Pyunghwa Engineering Consultants Ltd</w:t>
            </w:r>
          </w:p>
        </w:tc>
        <w:tc>
          <w:tcPr>
            <w:tcW w:w="2912"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r>
      <w:tr w:rsidR="004C32C0" w:rsidRPr="00CC6C75" w:rsidTr="00226050">
        <w:trPr>
          <w:trHeight w:val="300"/>
        </w:trPr>
        <w:tc>
          <w:tcPr>
            <w:tcW w:w="311" w:type="dxa"/>
            <w:vMerge/>
            <w:tcBorders>
              <w:top w:val="nil"/>
              <w:left w:val="single" w:sz="18" w:space="0" w:color="000000"/>
              <w:bottom w:val="nil"/>
              <w:right w:val="nil"/>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Kocks Consult Gmbh</w:t>
            </w:r>
          </w:p>
        </w:tc>
        <w:tc>
          <w:tcPr>
            <w:tcW w:w="2912"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GER</w:t>
            </w:r>
          </w:p>
        </w:tc>
      </w:tr>
      <w:tr w:rsidR="004C32C0" w:rsidRPr="00CC6C75" w:rsidTr="00226050">
        <w:trPr>
          <w:trHeight w:val="325"/>
        </w:trPr>
        <w:tc>
          <w:tcPr>
            <w:tcW w:w="311" w:type="dxa"/>
            <w:vMerge/>
            <w:tcBorders>
              <w:top w:val="nil"/>
              <w:left w:val="single" w:sz="18" w:space="0" w:color="000000"/>
              <w:bottom w:val="single" w:sz="24" w:space="0" w:color="000000"/>
              <w:right w:val="nil"/>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Designing and Consulting Company BT LLC</w:t>
            </w:r>
          </w:p>
        </w:tc>
        <w:tc>
          <w:tcPr>
            <w:tcW w:w="2912"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6.</w:t>
            </w:r>
          </w:p>
        </w:tc>
        <w:tc>
          <w:tcPr>
            <w:tcW w:w="5867"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Egis International </w:t>
            </w:r>
          </w:p>
        </w:tc>
        <w:tc>
          <w:tcPr>
            <w:tcW w:w="2912"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r>
      <w:tr w:rsidR="004C32C0" w:rsidRPr="00CC6C75" w:rsidTr="00226050">
        <w:trPr>
          <w:trHeight w:val="3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Egis Structures &amp; Environnement</w:t>
            </w:r>
          </w:p>
        </w:tc>
        <w:tc>
          <w:tcPr>
            <w:tcW w:w="2912"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5867"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Engineering Monitoring Group LLC</w:t>
            </w:r>
          </w:p>
        </w:tc>
        <w:tc>
          <w:tcPr>
            <w:tcW w:w="2912"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r>
    </w:tbl>
    <w:p w:rsidR="004C32C0" w:rsidRPr="00CC6C75" w:rsidRDefault="00CC6C75" w:rsidP="00F163E2">
      <w:pPr>
        <w:spacing w:after="0" w:line="240" w:lineRule="auto"/>
        <w:ind w:left="0" w:right="0" w:firstLine="720"/>
        <w:rPr>
          <w:sz w:val="20"/>
          <w:szCs w:val="20"/>
        </w:rPr>
      </w:pPr>
      <w:r w:rsidRPr="00CC6C75">
        <w:rPr>
          <w:sz w:val="20"/>
          <w:szCs w:val="20"/>
        </w:rPr>
        <w:t>აღნიშნულ კომპანიებს 2019 წლის 22 აგვისტოს დაეგზავნათ მოთხოვნა ტექნიკური და ფინანსური წინადადებების წარმოსადგენად, რომელთა წარმოდგენის ბოლო ვადად განისაზღვრა 2019 წლის</w:t>
      </w:r>
      <w:r w:rsidR="00226050">
        <w:rPr>
          <w:sz w:val="20"/>
          <w:szCs w:val="20"/>
        </w:rPr>
        <w:t xml:space="preserve"> </w:t>
      </w:r>
      <w:r w:rsidRPr="00CC6C75">
        <w:rPr>
          <w:sz w:val="20"/>
          <w:szCs w:val="20"/>
        </w:rPr>
        <w:t>7 ოქტომბერი. 2019 წლის</w:t>
      </w:r>
      <w:r w:rsidR="00226050">
        <w:rPr>
          <w:sz w:val="20"/>
          <w:szCs w:val="20"/>
        </w:rPr>
        <w:t xml:space="preserve"> </w:t>
      </w:r>
      <w:r w:rsidRPr="00CC6C75">
        <w:rPr>
          <w:sz w:val="20"/>
          <w:szCs w:val="20"/>
        </w:rPr>
        <w:t xml:space="preserve">7 ოქტომბერს ექვსივე კომპანიამ წარმოადგინა ტექნიკური და ფინანსური წინადადებები. </w:t>
      </w:r>
      <w:proofErr w:type="gramStart"/>
      <w:r w:rsidRPr="00CC6C75">
        <w:rPr>
          <w:sz w:val="20"/>
          <w:szCs w:val="20"/>
        </w:rPr>
        <w:t>ტექნიკური</w:t>
      </w:r>
      <w:proofErr w:type="gramEnd"/>
      <w:r w:rsidRPr="00CC6C75">
        <w:rPr>
          <w:sz w:val="20"/>
          <w:szCs w:val="20"/>
        </w:rPr>
        <w:t xml:space="preserve"> წინადადებების გახსნა განხორციელდა კომპანიების თანდასწრებით, ხოლო ფინანსური წინადადებები შენახულ იქნა გაუხსნელად. </w:t>
      </w:r>
      <w:proofErr w:type="gramStart"/>
      <w:r w:rsidRPr="00CC6C75">
        <w:rPr>
          <w:sz w:val="20"/>
          <w:szCs w:val="20"/>
        </w:rPr>
        <w:t>აზიის</w:t>
      </w:r>
      <w:proofErr w:type="gramEnd"/>
      <w:r w:rsidRPr="00CC6C75">
        <w:rPr>
          <w:sz w:val="20"/>
          <w:szCs w:val="20"/>
        </w:rPr>
        <w:t xml:space="preserve"> განვითარების ბანკის თანხმობა ტექნიკური წინადადებების შეფასებაზე მიღებულ იქნა 2020 წლის 17 იანვარს. </w:t>
      </w:r>
      <w:proofErr w:type="gramStart"/>
      <w:r w:rsidRPr="00CC6C75">
        <w:rPr>
          <w:sz w:val="20"/>
          <w:szCs w:val="20"/>
        </w:rPr>
        <w:t>კომპანიების</w:t>
      </w:r>
      <w:proofErr w:type="gramEnd"/>
      <w:r w:rsidRPr="00CC6C75">
        <w:rPr>
          <w:sz w:val="20"/>
          <w:szCs w:val="20"/>
        </w:rPr>
        <w:t xml:space="preserve"> ტექნიკური ქულები შემდეგნაირად განაწილდა:</w:t>
      </w:r>
    </w:p>
    <w:tbl>
      <w:tblPr>
        <w:tblStyle w:val="TableGrid"/>
        <w:tblW w:w="9090" w:type="dxa"/>
        <w:tblInd w:w="-23" w:type="dxa"/>
        <w:tblCellMar>
          <w:top w:w="64" w:type="dxa"/>
          <w:left w:w="108" w:type="dxa"/>
          <w:right w:w="53" w:type="dxa"/>
        </w:tblCellMar>
        <w:tblLook w:val="04A0" w:firstRow="1" w:lastRow="0" w:firstColumn="1" w:lastColumn="0" w:noHBand="0" w:noVBand="1"/>
      </w:tblPr>
      <w:tblGrid>
        <w:gridCol w:w="311"/>
        <w:gridCol w:w="4831"/>
        <w:gridCol w:w="2054"/>
        <w:gridCol w:w="1894"/>
      </w:tblGrid>
      <w:tr w:rsidR="004C32C0" w:rsidRPr="00CC6C75" w:rsidTr="00226050">
        <w:trPr>
          <w:trHeight w:val="337"/>
        </w:trPr>
        <w:tc>
          <w:tcPr>
            <w:tcW w:w="311" w:type="dxa"/>
            <w:tcBorders>
              <w:top w:val="single" w:sz="18" w:space="0" w:color="000000"/>
              <w:left w:val="single" w:sz="18" w:space="0" w:color="000000"/>
              <w:bottom w:val="single" w:sz="12"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18" w:space="0" w:color="000000"/>
              <w:left w:val="single" w:sz="8" w:space="0" w:color="000000"/>
              <w:bottom w:val="single" w:sz="12"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b/>
                <w:sz w:val="20"/>
                <w:szCs w:val="20"/>
              </w:rPr>
              <w:t>კონსულტანტი</w:t>
            </w:r>
          </w:p>
        </w:tc>
        <w:tc>
          <w:tcPr>
            <w:tcW w:w="2054" w:type="dxa"/>
            <w:tcBorders>
              <w:top w:val="single" w:sz="18" w:space="0" w:color="000000"/>
              <w:left w:val="single" w:sz="8" w:space="0" w:color="000000"/>
              <w:bottom w:val="single" w:sz="12"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b/>
                <w:sz w:val="20"/>
                <w:szCs w:val="20"/>
              </w:rPr>
              <w:t>ქვეყანა</w:t>
            </w:r>
          </w:p>
        </w:tc>
        <w:tc>
          <w:tcPr>
            <w:tcW w:w="1894" w:type="dxa"/>
            <w:tcBorders>
              <w:top w:val="single" w:sz="24" w:space="0" w:color="000000"/>
              <w:left w:val="single" w:sz="8" w:space="0" w:color="000000"/>
              <w:bottom w:val="single" w:sz="12"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b/>
                <w:sz w:val="20"/>
                <w:szCs w:val="20"/>
              </w:rPr>
              <w:t>ტექნიკური ქულა</w:t>
            </w:r>
          </w:p>
        </w:tc>
      </w:tr>
      <w:tr w:rsidR="004C32C0" w:rsidRPr="00CC6C75" w:rsidTr="00226050">
        <w:trPr>
          <w:trHeight w:val="315"/>
        </w:trPr>
        <w:tc>
          <w:tcPr>
            <w:tcW w:w="311" w:type="dxa"/>
            <w:vMerge w:val="restart"/>
            <w:tcBorders>
              <w:top w:val="single" w:sz="12"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1.</w:t>
            </w:r>
          </w:p>
        </w:tc>
        <w:tc>
          <w:tcPr>
            <w:tcW w:w="4831" w:type="dxa"/>
            <w:tcBorders>
              <w:top w:val="single" w:sz="12"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Dohwa Engineering Co., Ltd.</w:t>
            </w:r>
          </w:p>
        </w:tc>
        <w:tc>
          <w:tcPr>
            <w:tcW w:w="2054" w:type="dxa"/>
            <w:tcBorders>
              <w:top w:val="single" w:sz="12"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c>
          <w:tcPr>
            <w:tcW w:w="1894" w:type="dxa"/>
            <w:vMerge w:val="restart"/>
            <w:tcBorders>
              <w:top w:val="single" w:sz="12"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804.86</w:t>
            </w:r>
          </w:p>
        </w:tc>
      </w:tr>
      <w:tr w:rsidR="004C32C0" w:rsidRPr="00CC6C75" w:rsidTr="00226050">
        <w:trPr>
          <w:trHeight w:val="31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8"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Kunhwa Engineering &amp; Consulting Co., Ltd.</w:t>
            </w:r>
          </w:p>
        </w:tc>
        <w:tc>
          <w:tcPr>
            <w:tcW w:w="2054" w:type="dxa"/>
            <w:tcBorders>
              <w:top w:val="single" w:sz="8"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30"/>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Temelsu International Engineering Services Inc.</w:t>
            </w:r>
          </w:p>
        </w:tc>
        <w:tc>
          <w:tcPr>
            <w:tcW w:w="2054"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763"/>
        </w:trPr>
        <w:tc>
          <w:tcPr>
            <w:tcW w:w="311" w:type="dxa"/>
            <w:vMerge w:val="restart"/>
            <w:tcBorders>
              <w:top w:val="single" w:sz="24"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2.</w:t>
            </w:r>
          </w:p>
        </w:tc>
        <w:tc>
          <w:tcPr>
            <w:tcW w:w="4831" w:type="dxa"/>
            <w:tcBorders>
              <w:top w:val="single" w:sz="24" w:space="0" w:color="000000"/>
              <w:left w:val="single" w:sz="8" w:space="0" w:color="000000"/>
              <w:bottom w:val="single" w:sz="8"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ULUSLARARASI BİRLEŞMİŞ MÜŞAVİRLER </w:t>
            </w:r>
          </w:p>
          <w:p w:rsidR="004C32C0" w:rsidRPr="00CC6C75" w:rsidRDefault="00CC6C75" w:rsidP="00CC6C75">
            <w:pPr>
              <w:spacing w:after="0" w:line="240" w:lineRule="auto"/>
              <w:ind w:left="0" w:right="0" w:firstLine="0"/>
              <w:rPr>
                <w:sz w:val="20"/>
                <w:szCs w:val="20"/>
              </w:rPr>
            </w:pPr>
            <w:r w:rsidRPr="00CC6C75">
              <w:rPr>
                <w:sz w:val="20"/>
                <w:szCs w:val="20"/>
              </w:rPr>
              <w:t xml:space="preserve">MÜŞAVİRLİK HİZMETLERİ A.Ş. UBM </w:t>
            </w:r>
          </w:p>
          <w:p w:rsidR="004C32C0" w:rsidRPr="00CC6C75" w:rsidRDefault="00CC6C75" w:rsidP="00CC6C75">
            <w:pPr>
              <w:spacing w:after="0" w:line="240" w:lineRule="auto"/>
              <w:ind w:left="0" w:right="0" w:firstLine="0"/>
              <w:rPr>
                <w:sz w:val="20"/>
                <w:szCs w:val="20"/>
              </w:rPr>
            </w:pPr>
            <w:r w:rsidRPr="00CC6C75">
              <w:rPr>
                <w:sz w:val="20"/>
                <w:szCs w:val="20"/>
              </w:rPr>
              <w:t xml:space="preserve">INTERNATIONAL UNITED CONSULTANTS INC. </w:t>
            </w:r>
          </w:p>
        </w:tc>
        <w:tc>
          <w:tcPr>
            <w:tcW w:w="2054" w:type="dxa"/>
            <w:tcBorders>
              <w:top w:val="single" w:sz="24" w:space="0" w:color="000000"/>
              <w:left w:val="single" w:sz="8" w:space="0" w:color="000000"/>
              <w:bottom w:val="single" w:sz="8"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TUR</w:t>
            </w:r>
          </w:p>
        </w:tc>
        <w:tc>
          <w:tcPr>
            <w:tcW w:w="1894" w:type="dxa"/>
            <w:vMerge w:val="restart"/>
            <w:tcBorders>
              <w:top w:val="single" w:sz="24"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789.55</w:t>
            </w:r>
          </w:p>
        </w:tc>
      </w:tr>
      <w:tr w:rsidR="004C32C0" w:rsidRPr="00CC6C75" w:rsidTr="00226050">
        <w:trPr>
          <w:trHeight w:val="387"/>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SMEC International Pty Ltd</w:t>
            </w:r>
          </w:p>
        </w:tc>
        <w:tc>
          <w:tcPr>
            <w:tcW w:w="2054" w:type="dxa"/>
            <w:tcBorders>
              <w:top w:val="single" w:sz="8"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AUS</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3.</w:t>
            </w:r>
          </w:p>
        </w:tc>
        <w:tc>
          <w:tcPr>
            <w:tcW w:w="4831"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Hill International N.V.</w:t>
            </w:r>
          </w:p>
        </w:tc>
        <w:tc>
          <w:tcPr>
            <w:tcW w:w="2054"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NET</w:t>
            </w:r>
          </w:p>
        </w:tc>
        <w:tc>
          <w:tcPr>
            <w:tcW w:w="1894" w:type="dxa"/>
            <w:vMerge w:val="restart"/>
            <w:tcBorders>
              <w:top w:val="single" w:sz="24"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772.97</w:t>
            </w:r>
          </w:p>
        </w:tc>
      </w:tr>
      <w:tr w:rsidR="004C32C0" w:rsidRPr="00CC6C75" w:rsidTr="00226050">
        <w:trPr>
          <w:trHeight w:val="4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IUB Engineering Ltd</w:t>
            </w:r>
          </w:p>
        </w:tc>
        <w:tc>
          <w:tcPr>
            <w:tcW w:w="2054"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SWI</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4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YUKSEL PROJE ULUSLARARASI A.S.</w:t>
            </w:r>
          </w:p>
        </w:tc>
        <w:tc>
          <w:tcPr>
            <w:tcW w:w="2054"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TUR</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IM Engineering Eurasia</w:t>
            </w:r>
          </w:p>
        </w:tc>
        <w:tc>
          <w:tcPr>
            <w:tcW w:w="2054"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4. </w:t>
            </w:r>
          </w:p>
        </w:tc>
        <w:tc>
          <w:tcPr>
            <w:tcW w:w="4831"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EPTISA SERVICIOS DE INGENIERIA S.L.</w:t>
            </w:r>
          </w:p>
        </w:tc>
        <w:tc>
          <w:tcPr>
            <w:tcW w:w="2054"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c>
          <w:tcPr>
            <w:tcW w:w="1894" w:type="dxa"/>
            <w:vMerge w:val="restart"/>
            <w:tcBorders>
              <w:top w:val="single" w:sz="24"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800.99</w:t>
            </w:r>
          </w:p>
        </w:tc>
      </w:tr>
      <w:tr w:rsidR="004C32C0" w:rsidRPr="00CC6C75" w:rsidTr="00226050">
        <w:trPr>
          <w:trHeight w:val="3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ANAS INTERNATIONAL ENTERPRISE S.p.A.</w:t>
            </w:r>
          </w:p>
        </w:tc>
        <w:tc>
          <w:tcPr>
            <w:tcW w:w="2054"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ITA</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TPF GETINSA EUROESTUDIOS, S.L</w:t>
            </w:r>
          </w:p>
        </w:tc>
        <w:tc>
          <w:tcPr>
            <w:tcW w:w="2054"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SPA</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nil"/>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 xml:space="preserve">5. </w:t>
            </w:r>
          </w:p>
        </w:tc>
        <w:tc>
          <w:tcPr>
            <w:tcW w:w="4831"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Pyunghwa Engineering Consultants Ltd</w:t>
            </w:r>
          </w:p>
        </w:tc>
        <w:tc>
          <w:tcPr>
            <w:tcW w:w="2054"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KOR</w:t>
            </w:r>
          </w:p>
        </w:tc>
        <w:tc>
          <w:tcPr>
            <w:tcW w:w="1894" w:type="dxa"/>
            <w:vMerge w:val="restart"/>
            <w:tcBorders>
              <w:top w:val="single" w:sz="24"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810.70</w:t>
            </w:r>
          </w:p>
        </w:tc>
      </w:tr>
      <w:tr w:rsidR="004C32C0" w:rsidRPr="00CC6C75" w:rsidTr="00226050">
        <w:trPr>
          <w:trHeight w:val="300"/>
        </w:trPr>
        <w:tc>
          <w:tcPr>
            <w:tcW w:w="311" w:type="dxa"/>
            <w:vMerge/>
            <w:tcBorders>
              <w:top w:val="nil"/>
              <w:left w:val="single" w:sz="18" w:space="0" w:color="000000"/>
              <w:bottom w:val="nil"/>
              <w:right w:val="nil"/>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4" w:space="0" w:color="000000"/>
              <w:bottom w:val="single" w:sz="4" w:space="0" w:color="000000"/>
              <w:right w:val="single" w:sz="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Kocks Consult Gmbh</w:t>
            </w:r>
          </w:p>
        </w:tc>
        <w:tc>
          <w:tcPr>
            <w:tcW w:w="2054" w:type="dxa"/>
            <w:tcBorders>
              <w:top w:val="single" w:sz="4" w:space="0" w:color="000000"/>
              <w:left w:val="single" w:sz="4"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GER</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tcBorders>
              <w:top w:val="nil"/>
              <w:left w:val="single" w:sz="18" w:space="0" w:color="000000"/>
              <w:bottom w:val="single" w:sz="24" w:space="0" w:color="000000"/>
              <w:right w:val="nil"/>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Designing and Consulting Company BT LLC</w:t>
            </w:r>
          </w:p>
        </w:tc>
        <w:tc>
          <w:tcPr>
            <w:tcW w:w="2054"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val="restart"/>
            <w:tcBorders>
              <w:top w:val="single" w:sz="24" w:space="0" w:color="000000"/>
              <w:left w:val="single" w:sz="18" w:space="0" w:color="000000"/>
              <w:bottom w:val="single" w:sz="24" w:space="0" w:color="000000"/>
              <w:right w:val="single" w:sz="8" w:space="0" w:color="000000"/>
            </w:tcBorders>
            <w:vAlign w:val="center"/>
          </w:tcPr>
          <w:p w:rsidR="004C32C0" w:rsidRPr="00CC6C75" w:rsidRDefault="00CC6C75" w:rsidP="00CC6C75">
            <w:pPr>
              <w:spacing w:after="0" w:line="240" w:lineRule="auto"/>
              <w:ind w:left="0" w:right="0" w:firstLine="0"/>
              <w:rPr>
                <w:sz w:val="20"/>
                <w:szCs w:val="20"/>
              </w:rPr>
            </w:pPr>
            <w:r w:rsidRPr="00CC6C75">
              <w:rPr>
                <w:sz w:val="20"/>
                <w:szCs w:val="20"/>
              </w:rPr>
              <w:t>6.</w:t>
            </w:r>
          </w:p>
        </w:tc>
        <w:tc>
          <w:tcPr>
            <w:tcW w:w="4831"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 xml:space="preserve">Egis International </w:t>
            </w:r>
          </w:p>
        </w:tc>
        <w:tc>
          <w:tcPr>
            <w:tcW w:w="2054" w:type="dxa"/>
            <w:tcBorders>
              <w:top w:val="single" w:sz="2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c>
          <w:tcPr>
            <w:tcW w:w="1894" w:type="dxa"/>
            <w:vMerge w:val="restart"/>
            <w:tcBorders>
              <w:top w:val="single" w:sz="24" w:space="0" w:color="000000"/>
              <w:left w:val="single" w:sz="8" w:space="0" w:color="000000"/>
              <w:bottom w:val="single" w:sz="24" w:space="0" w:color="000000"/>
              <w:right w:val="single" w:sz="24"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815.68</w:t>
            </w:r>
          </w:p>
        </w:tc>
      </w:tr>
      <w:tr w:rsidR="004C32C0" w:rsidRPr="00CC6C75" w:rsidTr="00226050">
        <w:trPr>
          <w:trHeight w:val="300"/>
        </w:trPr>
        <w:tc>
          <w:tcPr>
            <w:tcW w:w="311" w:type="dxa"/>
            <w:vMerge/>
            <w:tcBorders>
              <w:top w:val="nil"/>
              <w:left w:val="single" w:sz="18" w:space="0" w:color="000000"/>
              <w:bottom w:val="nil"/>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Egis Structures &amp; Environnement</w:t>
            </w:r>
          </w:p>
        </w:tc>
        <w:tc>
          <w:tcPr>
            <w:tcW w:w="2054" w:type="dxa"/>
            <w:tcBorders>
              <w:top w:val="single" w:sz="4" w:space="0" w:color="000000"/>
              <w:left w:val="single" w:sz="8" w:space="0" w:color="000000"/>
              <w:bottom w:val="single" w:sz="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FRA</w:t>
            </w:r>
          </w:p>
        </w:tc>
        <w:tc>
          <w:tcPr>
            <w:tcW w:w="1894" w:type="dxa"/>
            <w:vMerge/>
            <w:tcBorders>
              <w:top w:val="nil"/>
              <w:left w:val="single" w:sz="8" w:space="0" w:color="000000"/>
              <w:bottom w:val="nil"/>
              <w:right w:val="single" w:sz="24" w:space="0" w:color="000000"/>
            </w:tcBorders>
          </w:tcPr>
          <w:p w:rsidR="004C32C0" w:rsidRPr="00CC6C75" w:rsidRDefault="004C32C0" w:rsidP="00CC6C75">
            <w:pPr>
              <w:spacing w:after="0" w:line="240" w:lineRule="auto"/>
              <w:ind w:left="0" w:right="0" w:firstLine="0"/>
              <w:rPr>
                <w:sz w:val="20"/>
                <w:szCs w:val="20"/>
              </w:rPr>
            </w:pPr>
          </w:p>
        </w:tc>
      </w:tr>
      <w:tr w:rsidR="004C32C0" w:rsidRPr="00CC6C75" w:rsidTr="00226050">
        <w:trPr>
          <w:trHeight w:val="325"/>
        </w:trPr>
        <w:tc>
          <w:tcPr>
            <w:tcW w:w="311" w:type="dxa"/>
            <w:vMerge/>
            <w:tcBorders>
              <w:top w:val="nil"/>
              <w:left w:val="single" w:sz="18" w:space="0" w:color="000000"/>
              <w:bottom w:val="single" w:sz="24" w:space="0" w:color="000000"/>
              <w:right w:val="single" w:sz="8" w:space="0" w:color="000000"/>
            </w:tcBorders>
          </w:tcPr>
          <w:p w:rsidR="004C32C0" w:rsidRPr="00CC6C75" w:rsidRDefault="004C32C0" w:rsidP="00CC6C75">
            <w:pPr>
              <w:spacing w:after="0" w:line="240" w:lineRule="auto"/>
              <w:ind w:left="0" w:right="0" w:firstLine="0"/>
              <w:rPr>
                <w:sz w:val="20"/>
                <w:szCs w:val="20"/>
              </w:rPr>
            </w:pPr>
          </w:p>
        </w:tc>
        <w:tc>
          <w:tcPr>
            <w:tcW w:w="4831"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Engineering Monitoring Group LLC</w:t>
            </w:r>
          </w:p>
        </w:tc>
        <w:tc>
          <w:tcPr>
            <w:tcW w:w="2054" w:type="dxa"/>
            <w:tcBorders>
              <w:top w:val="single" w:sz="4" w:space="0" w:color="000000"/>
              <w:left w:val="single" w:sz="8" w:space="0" w:color="000000"/>
              <w:bottom w:val="single" w:sz="24" w:space="0" w:color="000000"/>
              <w:right w:val="single" w:sz="8" w:space="0" w:color="000000"/>
            </w:tcBorders>
          </w:tcPr>
          <w:p w:rsidR="004C32C0" w:rsidRPr="00CC6C75" w:rsidRDefault="00CC6C75" w:rsidP="00CC6C75">
            <w:pPr>
              <w:spacing w:after="0" w:line="240" w:lineRule="auto"/>
              <w:ind w:left="0" w:right="0" w:firstLine="0"/>
              <w:rPr>
                <w:sz w:val="20"/>
                <w:szCs w:val="20"/>
              </w:rPr>
            </w:pPr>
            <w:r w:rsidRPr="00CC6C75">
              <w:rPr>
                <w:sz w:val="20"/>
                <w:szCs w:val="20"/>
              </w:rPr>
              <w:t>GEO</w:t>
            </w:r>
          </w:p>
        </w:tc>
        <w:tc>
          <w:tcPr>
            <w:tcW w:w="1894" w:type="dxa"/>
            <w:vMerge/>
            <w:tcBorders>
              <w:top w:val="nil"/>
              <w:left w:val="single" w:sz="8" w:space="0" w:color="000000"/>
              <w:bottom w:val="single" w:sz="24" w:space="0" w:color="000000"/>
              <w:right w:val="single" w:sz="24" w:space="0" w:color="000000"/>
            </w:tcBorders>
          </w:tcPr>
          <w:p w:rsidR="004C32C0" w:rsidRPr="00CC6C75" w:rsidRDefault="004C32C0" w:rsidP="00CC6C75">
            <w:pPr>
              <w:spacing w:after="0" w:line="240" w:lineRule="auto"/>
              <w:ind w:left="0" w:right="0" w:firstLine="0"/>
              <w:rPr>
                <w:sz w:val="20"/>
                <w:szCs w:val="20"/>
              </w:rPr>
            </w:pPr>
          </w:p>
        </w:tc>
      </w:tr>
    </w:tbl>
    <w:p w:rsidR="004C32C0" w:rsidRPr="00CC6C75" w:rsidRDefault="00CC6C75" w:rsidP="00F163E2">
      <w:pPr>
        <w:spacing w:after="0" w:line="240" w:lineRule="auto"/>
        <w:ind w:left="0" w:right="0" w:firstLine="720"/>
        <w:rPr>
          <w:sz w:val="20"/>
          <w:szCs w:val="20"/>
        </w:rPr>
      </w:pPr>
      <w:r w:rsidRPr="00CC6C75">
        <w:rPr>
          <w:sz w:val="20"/>
          <w:szCs w:val="20"/>
        </w:rPr>
        <w:t xml:space="preserve">იმის გამო, რომ ექვსივე კომპანიამ გადალახა მინიმალური ტექნიკური ქულა (750), ყველა მათგანი მოწვეულ იქნა ფინანსური წინადადებების გახსნაზე, რომელიც გაიმართა 2020 წლის 24 თებერვალს, 14:00 სთ-ზე. </w:t>
      </w:r>
      <w:proofErr w:type="gramStart"/>
      <w:r w:rsidRPr="00CC6C75">
        <w:rPr>
          <w:sz w:val="20"/>
          <w:szCs w:val="20"/>
        </w:rPr>
        <w:t>კომპანიების</w:t>
      </w:r>
      <w:proofErr w:type="gramEnd"/>
      <w:r w:rsidRPr="00CC6C75">
        <w:rPr>
          <w:sz w:val="20"/>
          <w:szCs w:val="20"/>
        </w:rPr>
        <w:t xml:space="preserve"> მიერ წარმოდგენილი ფასები და საბოლოო ფინანსური ქულები შემდეგნაირად განაწილდა:</w:t>
      </w:r>
    </w:p>
    <w:tbl>
      <w:tblPr>
        <w:tblStyle w:val="TableGrid"/>
        <w:tblW w:w="9777" w:type="dxa"/>
        <w:tblInd w:w="2" w:type="dxa"/>
        <w:tblCellMar>
          <w:top w:w="40" w:type="dxa"/>
          <w:left w:w="21" w:type="dxa"/>
        </w:tblCellMar>
        <w:tblLook w:val="04A0" w:firstRow="1" w:lastRow="0" w:firstColumn="1" w:lastColumn="0" w:noHBand="0" w:noVBand="1"/>
      </w:tblPr>
      <w:tblGrid>
        <w:gridCol w:w="1157"/>
        <w:gridCol w:w="723"/>
        <w:gridCol w:w="1073"/>
        <w:gridCol w:w="854"/>
        <w:gridCol w:w="705"/>
        <w:gridCol w:w="1171"/>
        <w:gridCol w:w="834"/>
        <w:gridCol w:w="834"/>
        <w:gridCol w:w="728"/>
        <w:gridCol w:w="890"/>
        <w:gridCol w:w="808"/>
      </w:tblGrid>
      <w:tr w:rsidR="004C32C0" w:rsidRPr="00CC6C75">
        <w:trPr>
          <w:trHeight w:val="480"/>
        </w:trPr>
        <w:tc>
          <w:tcPr>
            <w:tcW w:w="1173" w:type="dxa"/>
            <w:tcBorders>
              <w:top w:val="single" w:sz="3" w:space="0" w:color="000000"/>
              <w:left w:val="single" w:sz="3" w:space="0" w:color="000000"/>
              <w:bottom w:val="single" w:sz="5" w:space="0" w:color="000000"/>
              <w:right w:val="single" w:sz="5" w:space="0" w:color="D4D4D4"/>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Loan / Grant / Financing </w:t>
            </w:r>
          </w:p>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Number Country Project </w:t>
            </w:r>
          </w:p>
          <w:p w:rsidR="004C32C0" w:rsidRPr="00CC6C75" w:rsidRDefault="00CC6C75" w:rsidP="00CC6C75">
            <w:pPr>
              <w:spacing w:after="0" w:line="240" w:lineRule="auto"/>
              <w:ind w:left="0" w:right="0" w:firstLine="0"/>
              <w:rPr>
                <w:sz w:val="20"/>
                <w:szCs w:val="20"/>
              </w:rPr>
            </w:pPr>
            <w:r w:rsidRPr="00CC6C75">
              <w:rPr>
                <w:rFonts w:eastAsia="Arial" w:cs="Arial"/>
                <w:sz w:val="20"/>
                <w:szCs w:val="20"/>
              </w:rPr>
              <w:t>Name</w:t>
            </w:r>
          </w:p>
        </w:tc>
        <w:tc>
          <w:tcPr>
            <w:tcW w:w="3441" w:type="dxa"/>
            <w:gridSpan w:val="4"/>
            <w:tcBorders>
              <w:top w:val="single" w:sz="3" w:space="0" w:color="000000"/>
              <w:left w:val="single" w:sz="5" w:space="0" w:color="D4D4D4"/>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3861-GEO Georgia East-West Highway (Shorapani-Argvera Section)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Improvement Project</w:t>
            </w:r>
          </w:p>
        </w:tc>
        <w:tc>
          <w:tcPr>
            <w:tcW w:w="862" w:type="dxa"/>
            <w:tcBorders>
              <w:top w:val="single" w:sz="3" w:space="0" w:color="000000"/>
              <w:left w:val="single" w:sz="5" w:space="0" w:color="000000"/>
              <w:bottom w:val="single" w:sz="5" w:space="0" w:color="000000"/>
              <w:right w:val="single" w:sz="5" w:space="0" w:color="D4D4D4"/>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Package / </w:t>
            </w:r>
          </w:p>
          <w:p w:rsidR="004C32C0" w:rsidRPr="00CC6C75" w:rsidRDefault="00CC6C75" w:rsidP="00CC6C75">
            <w:pPr>
              <w:spacing w:after="0" w:line="240" w:lineRule="auto"/>
              <w:ind w:left="0" w:right="0" w:firstLine="0"/>
              <w:rPr>
                <w:sz w:val="20"/>
                <w:szCs w:val="20"/>
              </w:rPr>
            </w:pPr>
            <w:r w:rsidRPr="00CC6C75">
              <w:rPr>
                <w:rFonts w:eastAsia="Arial" w:cs="Arial"/>
                <w:sz w:val="20"/>
                <w:szCs w:val="20"/>
              </w:rPr>
              <w:t>Assignment Title</w:t>
            </w:r>
          </w:p>
        </w:tc>
        <w:tc>
          <w:tcPr>
            <w:tcW w:w="4301" w:type="dxa"/>
            <w:gridSpan w:val="5"/>
            <w:tcBorders>
              <w:top w:val="single" w:sz="3" w:space="0" w:color="000000"/>
              <w:left w:val="single" w:sz="5" w:space="0" w:color="D4D4D4"/>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Construction Supervision Consultant for the E60 Highway F4 Shorapani-Argveta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Project - SARP/CS/QCBS-01</w:t>
            </w:r>
          </w:p>
        </w:tc>
      </w:tr>
      <w:tr w:rsidR="004C32C0" w:rsidRPr="00CC6C75">
        <w:trPr>
          <w:trHeight w:val="343"/>
        </w:trPr>
        <w:tc>
          <w:tcPr>
            <w:tcW w:w="1173" w:type="dxa"/>
            <w:tcBorders>
              <w:top w:val="single" w:sz="5" w:space="0" w:color="000000"/>
              <w:left w:val="single" w:sz="3" w:space="0" w:color="000000"/>
              <w:bottom w:val="double" w:sz="6" w:space="0" w:color="000000"/>
              <w:right w:val="single" w:sz="5" w:space="0" w:color="D4D4D4"/>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Currency of Budget / </w:t>
            </w:r>
          </w:p>
          <w:p w:rsidR="004C32C0" w:rsidRPr="00CC6C75" w:rsidRDefault="00CC6C75" w:rsidP="00CC6C75">
            <w:pPr>
              <w:spacing w:after="0" w:line="240" w:lineRule="auto"/>
              <w:ind w:left="0" w:right="0" w:firstLine="0"/>
              <w:rPr>
                <w:sz w:val="20"/>
                <w:szCs w:val="20"/>
              </w:rPr>
            </w:pPr>
            <w:r w:rsidRPr="00CC6C75">
              <w:rPr>
                <w:rFonts w:eastAsia="Arial" w:cs="Arial"/>
                <w:sz w:val="20"/>
                <w:szCs w:val="20"/>
              </w:rPr>
              <w:t>Cost Estimate</w:t>
            </w:r>
          </w:p>
        </w:tc>
        <w:tc>
          <w:tcPr>
            <w:tcW w:w="859" w:type="dxa"/>
            <w:tcBorders>
              <w:top w:val="single" w:sz="5" w:space="0" w:color="000000"/>
              <w:left w:val="single" w:sz="5" w:space="0" w:color="D4D4D4"/>
              <w:bottom w:val="double" w:sz="6" w:space="0" w:color="000000"/>
              <w:right w:val="single" w:sz="5" w:space="0" w:color="D4D4D4"/>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USD</w:t>
            </w:r>
          </w:p>
        </w:tc>
        <w:tc>
          <w:tcPr>
            <w:tcW w:w="862" w:type="dxa"/>
            <w:tcBorders>
              <w:top w:val="single" w:sz="5" w:space="0" w:color="000000"/>
              <w:left w:val="single" w:sz="5" w:space="0" w:color="D4D4D4"/>
              <w:bottom w:val="double" w:sz="6" w:space="0" w:color="000000"/>
              <w:right w:val="single" w:sz="5" w:space="0" w:color="D4D4D4"/>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8,935,710.00</w:t>
            </w:r>
          </w:p>
        </w:tc>
        <w:tc>
          <w:tcPr>
            <w:tcW w:w="861" w:type="dxa"/>
            <w:tcBorders>
              <w:top w:val="single" w:sz="5" w:space="0" w:color="000000"/>
              <w:left w:val="single" w:sz="5" w:space="0" w:color="D4D4D4"/>
              <w:bottom w:val="doub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estimated</w:t>
            </w:r>
          </w:p>
        </w:tc>
        <w:tc>
          <w:tcPr>
            <w:tcW w:w="859" w:type="dxa"/>
            <w:tcBorders>
              <w:top w:val="single" w:sz="5" w:space="0" w:color="000000"/>
              <w:left w:val="single" w:sz="5" w:space="0" w:color="000000"/>
              <w:bottom w:val="double" w:sz="6" w:space="0" w:color="000000"/>
              <w:right w:val="single" w:sz="5" w:space="0" w:color="D4D4D4"/>
            </w:tcBorders>
          </w:tcPr>
          <w:p w:rsidR="004C32C0" w:rsidRPr="00CC6C75" w:rsidRDefault="004C32C0" w:rsidP="00CC6C75">
            <w:pPr>
              <w:spacing w:after="0" w:line="240" w:lineRule="auto"/>
              <w:ind w:left="0" w:right="0" w:firstLine="0"/>
              <w:rPr>
                <w:sz w:val="20"/>
                <w:szCs w:val="20"/>
              </w:rPr>
            </w:pPr>
          </w:p>
        </w:tc>
        <w:tc>
          <w:tcPr>
            <w:tcW w:w="862" w:type="dxa"/>
            <w:tcBorders>
              <w:top w:val="single" w:sz="5" w:space="0" w:color="000000"/>
              <w:left w:val="single" w:sz="5" w:space="0" w:color="D4D4D4"/>
              <w:bottom w:val="double" w:sz="6" w:space="0" w:color="000000"/>
              <w:right w:val="single" w:sz="5" w:space="0" w:color="D4D4D4"/>
            </w:tcBorders>
          </w:tcPr>
          <w:p w:rsidR="004C32C0" w:rsidRPr="00CC6C75" w:rsidRDefault="004C32C0" w:rsidP="00CC6C75">
            <w:pPr>
              <w:spacing w:after="0" w:line="240" w:lineRule="auto"/>
              <w:ind w:left="0" w:right="0" w:firstLine="0"/>
              <w:rPr>
                <w:sz w:val="20"/>
                <w:szCs w:val="20"/>
              </w:rPr>
            </w:pPr>
          </w:p>
        </w:tc>
        <w:tc>
          <w:tcPr>
            <w:tcW w:w="861" w:type="dxa"/>
            <w:tcBorders>
              <w:top w:val="single" w:sz="5" w:space="0" w:color="000000"/>
              <w:left w:val="single" w:sz="5" w:space="0" w:color="D4D4D4"/>
              <w:bottom w:val="double" w:sz="6" w:space="0" w:color="000000"/>
              <w:right w:val="single" w:sz="5" w:space="0" w:color="D4D4D4"/>
            </w:tcBorders>
          </w:tcPr>
          <w:p w:rsidR="004C32C0" w:rsidRPr="00CC6C75" w:rsidRDefault="004C32C0" w:rsidP="00CC6C75">
            <w:pPr>
              <w:spacing w:after="0" w:line="240" w:lineRule="auto"/>
              <w:ind w:left="0" w:right="0" w:firstLine="0"/>
              <w:rPr>
                <w:sz w:val="20"/>
                <w:szCs w:val="20"/>
              </w:rPr>
            </w:pPr>
          </w:p>
        </w:tc>
        <w:tc>
          <w:tcPr>
            <w:tcW w:w="861" w:type="dxa"/>
            <w:tcBorders>
              <w:top w:val="single" w:sz="5" w:space="0" w:color="000000"/>
              <w:left w:val="single" w:sz="5" w:space="0" w:color="D4D4D4"/>
              <w:bottom w:val="double" w:sz="6" w:space="0" w:color="000000"/>
              <w:right w:val="single" w:sz="5" w:space="0" w:color="000000"/>
            </w:tcBorders>
          </w:tcPr>
          <w:p w:rsidR="004C32C0" w:rsidRPr="00CC6C75" w:rsidRDefault="004C32C0" w:rsidP="00CC6C75">
            <w:pPr>
              <w:spacing w:after="0" w:line="240" w:lineRule="auto"/>
              <w:ind w:left="0" w:right="0" w:firstLine="0"/>
              <w:rPr>
                <w:sz w:val="20"/>
                <w:szCs w:val="20"/>
              </w:rPr>
            </w:pPr>
          </w:p>
        </w:tc>
        <w:tc>
          <w:tcPr>
            <w:tcW w:w="859" w:type="dxa"/>
            <w:tcBorders>
              <w:top w:val="single" w:sz="5" w:space="0" w:color="000000"/>
              <w:left w:val="single" w:sz="5" w:space="0" w:color="000000"/>
              <w:bottom w:val="double" w:sz="6" w:space="0" w:color="000000"/>
              <w:right w:val="single" w:sz="5" w:space="0" w:color="D4D4D4"/>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QCBS Ratio</w:t>
            </w:r>
          </w:p>
        </w:tc>
        <w:tc>
          <w:tcPr>
            <w:tcW w:w="862" w:type="dxa"/>
            <w:tcBorders>
              <w:top w:val="single" w:sz="5" w:space="0" w:color="000000"/>
              <w:left w:val="single" w:sz="5" w:space="0" w:color="D4D4D4"/>
              <w:bottom w:val="double" w:sz="6" w:space="0" w:color="000000"/>
              <w:right w:val="single" w:sz="5" w:space="0" w:color="D4D4D4"/>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80%</w:t>
            </w:r>
          </w:p>
        </w:tc>
        <w:tc>
          <w:tcPr>
            <w:tcW w:w="859" w:type="dxa"/>
            <w:tcBorders>
              <w:top w:val="single" w:sz="5" w:space="0" w:color="000000"/>
              <w:left w:val="single" w:sz="5" w:space="0" w:color="D4D4D4"/>
              <w:bottom w:val="double" w:sz="6"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20%</w:t>
            </w:r>
          </w:p>
        </w:tc>
      </w:tr>
      <w:tr w:rsidR="004C32C0" w:rsidRPr="00CC6C75">
        <w:trPr>
          <w:trHeight w:val="186"/>
        </w:trPr>
        <w:tc>
          <w:tcPr>
            <w:tcW w:w="2032" w:type="dxa"/>
            <w:gridSpan w:val="2"/>
            <w:vMerge w:val="restart"/>
            <w:tcBorders>
              <w:top w:val="double" w:sz="6" w:space="0" w:color="000000"/>
              <w:left w:val="single" w:sz="3"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Consulting Entity</w:t>
            </w:r>
          </w:p>
        </w:tc>
        <w:tc>
          <w:tcPr>
            <w:tcW w:w="2582" w:type="dxa"/>
            <w:gridSpan w:val="3"/>
            <w:tcBorders>
              <w:top w:val="double" w:sz="6" w:space="0" w:color="000000"/>
              <w:left w:val="single" w:sz="6"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Technical Evaluation</w:t>
            </w:r>
          </w:p>
        </w:tc>
        <w:tc>
          <w:tcPr>
            <w:tcW w:w="3442" w:type="dxa"/>
            <w:gridSpan w:val="4"/>
            <w:tcBorders>
              <w:top w:val="double" w:sz="6" w:space="0" w:color="000000"/>
              <w:left w:val="single" w:sz="6"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Financial Evaluation</w:t>
            </w:r>
          </w:p>
        </w:tc>
        <w:tc>
          <w:tcPr>
            <w:tcW w:w="862" w:type="dxa"/>
            <w:vMerge w:val="restart"/>
            <w:tcBorders>
              <w:top w:val="double" w:sz="6" w:space="0" w:color="000000"/>
              <w:left w:val="single" w:sz="6" w:space="0" w:color="000000"/>
              <w:bottom w:val="single" w:sz="5" w:space="0" w:color="D4D4D4"/>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Combined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Score</w:t>
            </w:r>
          </w:p>
        </w:tc>
        <w:tc>
          <w:tcPr>
            <w:tcW w:w="859" w:type="dxa"/>
            <w:vMerge w:val="restart"/>
            <w:tcBorders>
              <w:top w:val="double" w:sz="6"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Final Ranking</w:t>
            </w:r>
          </w:p>
        </w:tc>
      </w:tr>
      <w:tr w:rsidR="004C32C0" w:rsidRPr="00CC6C75">
        <w:trPr>
          <w:trHeight w:val="321"/>
        </w:trPr>
        <w:tc>
          <w:tcPr>
            <w:tcW w:w="0" w:type="auto"/>
            <w:gridSpan w:val="2"/>
            <w:vMerge/>
            <w:tcBorders>
              <w:top w:val="nil"/>
              <w:left w:val="single" w:sz="3" w:space="0" w:color="000000"/>
              <w:bottom w:val="nil"/>
              <w:right w:val="single" w:sz="6" w:space="0" w:color="000000"/>
            </w:tcBorders>
          </w:tcPr>
          <w:p w:rsidR="004C32C0" w:rsidRPr="00CC6C75" w:rsidRDefault="004C32C0" w:rsidP="00CC6C75">
            <w:pPr>
              <w:spacing w:after="0" w:line="240" w:lineRule="auto"/>
              <w:ind w:left="0" w:right="0" w:firstLine="0"/>
              <w:rPr>
                <w:sz w:val="20"/>
                <w:szCs w:val="20"/>
              </w:rPr>
            </w:pPr>
          </w:p>
        </w:tc>
        <w:tc>
          <w:tcPr>
            <w:tcW w:w="862" w:type="dxa"/>
            <w:tcBorders>
              <w:top w:val="single" w:sz="5" w:space="0" w:color="000000"/>
              <w:left w:val="single" w:sz="6" w:space="0" w:color="000000"/>
              <w:bottom w:val="single" w:sz="5" w:space="0" w:color="D4D4D4"/>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Technical Score</w:t>
            </w:r>
          </w:p>
        </w:tc>
        <w:tc>
          <w:tcPr>
            <w:tcW w:w="861" w:type="dxa"/>
            <w:tcBorders>
              <w:top w:val="single" w:sz="5" w:space="0" w:color="000000"/>
              <w:left w:val="single" w:sz="5" w:space="0" w:color="000000"/>
              <w:bottom w:val="single" w:sz="5" w:space="0" w:color="D4D4D4"/>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Technical Points</w:t>
            </w:r>
          </w:p>
        </w:tc>
        <w:tc>
          <w:tcPr>
            <w:tcW w:w="859" w:type="dxa"/>
            <w:tcBorders>
              <w:top w:val="single" w:sz="5" w:space="0" w:color="000000"/>
              <w:left w:val="single" w:sz="5" w:space="0" w:color="000000"/>
              <w:bottom w:val="single" w:sz="5" w:space="0" w:color="D4D4D4"/>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Rank</w:t>
            </w:r>
          </w:p>
        </w:tc>
        <w:tc>
          <w:tcPr>
            <w:tcW w:w="862" w:type="dxa"/>
            <w:tcBorders>
              <w:top w:val="single" w:sz="5" w:space="0" w:color="000000"/>
              <w:left w:val="single" w:sz="6" w:space="0" w:color="000000"/>
              <w:bottom w:val="single" w:sz="5" w:space="0" w:color="D4D4D4"/>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Total Evaluated </w:t>
            </w:r>
          </w:p>
          <w:p w:rsidR="004C32C0" w:rsidRPr="00CC6C75" w:rsidRDefault="00CC6C75" w:rsidP="00CC6C75">
            <w:pPr>
              <w:spacing w:after="0" w:line="240" w:lineRule="auto"/>
              <w:ind w:left="0" w:right="0" w:firstLine="0"/>
              <w:rPr>
                <w:sz w:val="20"/>
                <w:szCs w:val="20"/>
              </w:rPr>
            </w:pPr>
            <w:r w:rsidRPr="00CC6C75">
              <w:rPr>
                <w:rFonts w:eastAsia="Arial" w:cs="Arial"/>
                <w:sz w:val="20"/>
                <w:szCs w:val="20"/>
              </w:rPr>
              <w:t xml:space="preserve">Price </w:t>
            </w:r>
          </w:p>
        </w:tc>
        <w:tc>
          <w:tcPr>
            <w:tcW w:w="861" w:type="dxa"/>
            <w:tcBorders>
              <w:top w:val="single" w:sz="5" w:space="0" w:color="000000"/>
              <w:left w:val="single" w:sz="5" w:space="0" w:color="000000"/>
              <w:bottom w:val="single" w:sz="5" w:space="0" w:color="D4D4D4"/>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Financial Score</w:t>
            </w:r>
          </w:p>
        </w:tc>
        <w:tc>
          <w:tcPr>
            <w:tcW w:w="861" w:type="dxa"/>
            <w:tcBorders>
              <w:top w:val="single" w:sz="5" w:space="0" w:color="000000"/>
              <w:left w:val="single" w:sz="5" w:space="0" w:color="000000"/>
              <w:bottom w:val="single" w:sz="5" w:space="0" w:color="D4D4D4"/>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Financial Points</w:t>
            </w:r>
          </w:p>
        </w:tc>
        <w:tc>
          <w:tcPr>
            <w:tcW w:w="859" w:type="dxa"/>
            <w:tcBorders>
              <w:top w:val="single" w:sz="5" w:space="0" w:color="000000"/>
              <w:left w:val="single" w:sz="5" w:space="0" w:color="000000"/>
              <w:bottom w:val="single" w:sz="5" w:space="0" w:color="D4D4D4"/>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Rank</w:t>
            </w:r>
          </w:p>
        </w:tc>
        <w:tc>
          <w:tcPr>
            <w:tcW w:w="0" w:type="auto"/>
            <w:vMerge/>
            <w:tcBorders>
              <w:top w:val="nil"/>
              <w:left w:val="single" w:sz="6" w:space="0" w:color="000000"/>
              <w:bottom w:val="single" w:sz="5" w:space="0" w:color="D4D4D4"/>
              <w:right w:val="single" w:sz="5" w:space="0" w:color="000000"/>
            </w:tcBorders>
          </w:tcPr>
          <w:p w:rsidR="004C32C0" w:rsidRPr="00CC6C75" w:rsidRDefault="004C32C0" w:rsidP="00CC6C75">
            <w:pPr>
              <w:spacing w:after="0" w:line="240" w:lineRule="auto"/>
              <w:ind w:left="0" w:right="0" w:firstLine="0"/>
              <w:rPr>
                <w:sz w:val="20"/>
                <w:szCs w:val="20"/>
              </w:rPr>
            </w:pPr>
          </w:p>
        </w:tc>
        <w:tc>
          <w:tcPr>
            <w:tcW w:w="0" w:type="auto"/>
            <w:vMerge/>
            <w:tcBorders>
              <w:top w:val="nil"/>
              <w:left w:val="single" w:sz="5" w:space="0" w:color="000000"/>
              <w:bottom w:val="nil"/>
              <w:right w:val="single" w:sz="6" w:space="0" w:color="000000"/>
            </w:tcBorders>
          </w:tcPr>
          <w:p w:rsidR="004C32C0" w:rsidRPr="00CC6C75" w:rsidRDefault="004C32C0" w:rsidP="00CC6C75">
            <w:pPr>
              <w:spacing w:after="0" w:line="240" w:lineRule="auto"/>
              <w:ind w:left="0" w:right="0" w:firstLine="0"/>
              <w:rPr>
                <w:sz w:val="20"/>
                <w:szCs w:val="20"/>
              </w:rPr>
            </w:pPr>
          </w:p>
        </w:tc>
      </w:tr>
      <w:tr w:rsidR="004C32C0" w:rsidRPr="00CC6C75">
        <w:trPr>
          <w:trHeight w:val="160"/>
        </w:trPr>
        <w:tc>
          <w:tcPr>
            <w:tcW w:w="0" w:type="auto"/>
            <w:gridSpan w:val="2"/>
            <w:vMerge/>
            <w:tcBorders>
              <w:top w:val="nil"/>
              <w:left w:val="single" w:sz="3" w:space="0" w:color="000000"/>
              <w:bottom w:val="single" w:sz="5" w:space="0" w:color="000000"/>
              <w:right w:val="single" w:sz="6" w:space="0" w:color="000000"/>
            </w:tcBorders>
          </w:tcPr>
          <w:p w:rsidR="004C32C0" w:rsidRPr="00CC6C75" w:rsidRDefault="004C32C0" w:rsidP="00CC6C75">
            <w:pPr>
              <w:spacing w:after="0" w:line="240" w:lineRule="auto"/>
              <w:ind w:left="0" w:right="0" w:firstLine="0"/>
              <w:rPr>
                <w:sz w:val="20"/>
                <w:szCs w:val="20"/>
              </w:rPr>
            </w:pPr>
          </w:p>
        </w:tc>
        <w:tc>
          <w:tcPr>
            <w:tcW w:w="862" w:type="dxa"/>
            <w:tcBorders>
              <w:top w:val="single" w:sz="5" w:space="0" w:color="D4D4D4"/>
              <w:left w:val="single" w:sz="6"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A</w:t>
            </w:r>
          </w:p>
        </w:tc>
        <w:tc>
          <w:tcPr>
            <w:tcW w:w="861" w:type="dxa"/>
            <w:tcBorders>
              <w:top w:val="single" w:sz="5" w:space="0" w:color="D4D4D4"/>
              <w:left w:val="single" w:sz="5"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B</w:t>
            </w:r>
          </w:p>
        </w:tc>
        <w:tc>
          <w:tcPr>
            <w:tcW w:w="859" w:type="dxa"/>
            <w:tcBorders>
              <w:top w:val="single" w:sz="5" w:space="0" w:color="D4D4D4"/>
              <w:left w:val="single" w:sz="5" w:space="0" w:color="000000"/>
              <w:bottom w:val="single" w:sz="5" w:space="0" w:color="000000"/>
              <w:right w:val="single" w:sz="6" w:space="0" w:color="000000"/>
            </w:tcBorders>
          </w:tcPr>
          <w:p w:rsidR="004C32C0" w:rsidRPr="00CC6C75" w:rsidRDefault="004C32C0" w:rsidP="00CC6C75">
            <w:pPr>
              <w:spacing w:after="0" w:line="240" w:lineRule="auto"/>
              <w:ind w:left="0" w:right="0" w:firstLine="0"/>
              <w:rPr>
                <w:sz w:val="20"/>
                <w:szCs w:val="20"/>
              </w:rPr>
            </w:pPr>
          </w:p>
        </w:tc>
        <w:tc>
          <w:tcPr>
            <w:tcW w:w="862" w:type="dxa"/>
            <w:tcBorders>
              <w:top w:val="single" w:sz="5" w:space="0" w:color="D4D4D4"/>
              <w:left w:val="single" w:sz="6"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C</w:t>
            </w:r>
          </w:p>
        </w:tc>
        <w:tc>
          <w:tcPr>
            <w:tcW w:w="861" w:type="dxa"/>
            <w:tcBorders>
              <w:top w:val="single" w:sz="5" w:space="0" w:color="D4D4D4"/>
              <w:left w:val="single" w:sz="5"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D</w:t>
            </w:r>
          </w:p>
        </w:tc>
        <w:tc>
          <w:tcPr>
            <w:tcW w:w="861" w:type="dxa"/>
            <w:tcBorders>
              <w:top w:val="single" w:sz="5" w:space="0" w:color="D4D4D4"/>
              <w:left w:val="single" w:sz="5"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E</w:t>
            </w:r>
          </w:p>
        </w:tc>
        <w:tc>
          <w:tcPr>
            <w:tcW w:w="859" w:type="dxa"/>
            <w:tcBorders>
              <w:top w:val="single" w:sz="5" w:space="0" w:color="D4D4D4"/>
              <w:left w:val="single" w:sz="5" w:space="0" w:color="000000"/>
              <w:bottom w:val="single" w:sz="5" w:space="0" w:color="000000"/>
              <w:right w:val="single" w:sz="6" w:space="0" w:color="000000"/>
            </w:tcBorders>
          </w:tcPr>
          <w:p w:rsidR="004C32C0" w:rsidRPr="00CC6C75" w:rsidRDefault="004C32C0" w:rsidP="00CC6C75">
            <w:pPr>
              <w:spacing w:after="0" w:line="240" w:lineRule="auto"/>
              <w:ind w:left="0" w:right="0" w:firstLine="0"/>
              <w:rPr>
                <w:sz w:val="20"/>
                <w:szCs w:val="20"/>
              </w:rPr>
            </w:pPr>
          </w:p>
        </w:tc>
        <w:tc>
          <w:tcPr>
            <w:tcW w:w="862" w:type="dxa"/>
            <w:tcBorders>
              <w:top w:val="single" w:sz="5" w:space="0" w:color="D4D4D4"/>
              <w:left w:val="single" w:sz="6" w:space="0" w:color="000000"/>
              <w:bottom w:val="single" w:sz="5" w:space="0" w:color="000000"/>
              <w:right w:val="single" w:sz="5"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F = B + E</w:t>
            </w:r>
          </w:p>
        </w:tc>
        <w:tc>
          <w:tcPr>
            <w:tcW w:w="0" w:type="auto"/>
            <w:vMerge/>
            <w:tcBorders>
              <w:top w:val="nil"/>
              <w:left w:val="single" w:sz="5" w:space="0" w:color="000000"/>
              <w:bottom w:val="single" w:sz="5" w:space="0" w:color="000000"/>
              <w:right w:val="single" w:sz="6" w:space="0" w:color="000000"/>
            </w:tcBorders>
          </w:tcPr>
          <w:p w:rsidR="004C32C0" w:rsidRPr="00CC6C75" w:rsidRDefault="004C32C0" w:rsidP="00CC6C75">
            <w:pPr>
              <w:spacing w:after="0" w:line="240" w:lineRule="auto"/>
              <w:ind w:left="0" w:right="0" w:firstLine="0"/>
              <w:rPr>
                <w:sz w:val="20"/>
                <w:szCs w:val="20"/>
              </w:rPr>
            </w:pPr>
          </w:p>
        </w:tc>
      </w:tr>
      <w:tr w:rsidR="004C32C0" w:rsidRPr="00CC6C75">
        <w:trPr>
          <w:trHeight w:val="641"/>
        </w:trPr>
        <w:tc>
          <w:tcPr>
            <w:tcW w:w="2032" w:type="dxa"/>
            <w:gridSpan w:val="2"/>
            <w:tcBorders>
              <w:top w:val="single" w:sz="5" w:space="0" w:color="000000"/>
              <w:left w:val="single" w:sz="3"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Dohwa Engineering Co., Ltd. (Lead) and Kunhwa Engineering &amp; Consulting Co., Ltd.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and Temelsu International Engineering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Services Inc</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804.86</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643.89</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3</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20,173,026.68</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823.65</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164.73</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3</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808.62</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4</w:t>
            </w:r>
          </w:p>
        </w:tc>
      </w:tr>
      <w:tr w:rsidR="004C32C0" w:rsidRPr="00CC6C75">
        <w:trPr>
          <w:trHeight w:val="641"/>
        </w:trPr>
        <w:tc>
          <w:tcPr>
            <w:tcW w:w="2032" w:type="dxa"/>
            <w:gridSpan w:val="2"/>
            <w:tcBorders>
              <w:top w:val="single" w:sz="5" w:space="0" w:color="000000"/>
              <w:left w:val="single" w:sz="3"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ULUSLARARASI BİRLEŞMİŞ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MÜŞAVİRLER MÜŞAVİRLİK HİZMETLERİ A.Ş.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UBM INTERNATIONAL UNITED CONSULTANTS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INC. (Lead) and SMEC International Pty Ltd</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789.55</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631.64</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5</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16,615,539.91</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1,000.00</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200.00</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831.64</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1</w:t>
            </w:r>
          </w:p>
        </w:tc>
      </w:tr>
      <w:tr w:rsidR="004C32C0" w:rsidRPr="00CC6C75">
        <w:trPr>
          <w:trHeight w:val="641"/>
        </w:trPr>
        <w:tc>
          <w:tcPr>
            <w:tcW w:w="2032" w:type="dxa"/>
            <w:gridSpan w:val="2"/>
            <w:tcBorders>
              <w:top w:val="single" w:sz="5" w:space="0" w:color="000000"/>
              <w:left w:val="single" w:sz="3"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Hill International N.V. (Lead) and IUB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Engineering Ltd and YUKSEL PROJE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ULUSLARARASI A.S</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lastRenderedPageBreak/>
              <w:t>Sub-consultant - IM Engineering Eurasia</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lastRenderedPageBreak/>
              <w:t>772.97</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618.38</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20,788,113.07</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799.28</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159.86</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5</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778.23</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6</w:t>
            </w:r>
          </w:p>
        </w:tc>
      </w:tr>
      <w:tr w:rsidR="004C32C0" w:rsidRPr="00CC6C75">
        <w:trPr>
          <w:trHeight w:val="641"/>
        </w:trPr>
        <w:tc>
          <w:tcPr>
            <w:tcW w:w="2032" w:type="dxa"/>
            <w:gridSpan w:val="2"/>
            <w:tcBorders>
              <w:top w:val="single" w:sz="5" w:space="0" w:color="000000"/>
              <w:left w:val="single" w:sz="3"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EPTISA SERVICIOS DE INGENIERIA S.L.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(Lead) and ANAS INTERNATIONAL ENTERPRISE S.p.A. and TPF GETINSA EUROESTUDIOS, S.L.</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800.99</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640.79</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4</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21,554,351.68</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770.87</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154.17</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794.97</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5</w:t>
            </w:r>
          </w:p>
        </w:tc>
      </w:tr>
      <w:tr w:rsidR="004C32C0" w:rsidRPr="00CC6C75">
        <w:trPr>
          <w:trHeight w:val="641"/>
        </w:trPr>
        <w:tc>
          <w:tcPr>
            <w:tcW w:w="2032" w:type="dxa"/>
            <w:gridSpan w:val="2"/>
            <w:tcBorders>
              <w:top w:val="single" w:sz="5" w:space="0" w:color="000000"/>
              <w:left w:val="single" w:sz="3" w:space="0" w:color="000000"/>
              <w:bottom w:val="single" w:sz="5" w:space="0" w:color="000000"/>
              <w:right w:val="single" w:sz="6" w:space="0" w:color="000000"/>
            </w:tcBorders>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Pyunghwa Engineering Consultants Ltd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(Lead) and Kocks Consult Gmbh</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Sub-consultant: Designing and Consulting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Company BT LLC</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810.70</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648.56</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19,647,643.89</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845.68</w:t>
            </w:r>
          </w:p>
        </w:tc>
        <w:tc>
          <w:tcPr>
            <w:tcW w:w="861" w:type="dxa"/>
            <w:tcBorders>
              <w:top w:val="single" w:sz="5" w:space="0" w:color="000000"/>
              <w:left w:val="single" w:sz="5"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169.14</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w:t>
            </w:r>
          </w:p>
        </w:tc>
        <w:tc>
          <w:tcPr>
            <w:tcW w:w="862" w:type="dxa"/>
            <w:tcBorders>
              <w:top w:val="single" w:sz="5" w:space="0" w:color="000000"/>
              <w:left w:val="single" w:sz="6" w:space="0" w:color="000000"/>
              <w:bottom w:val="single" w:sz="5"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817.70</w:t>
            </w:r>
          </w:p>
        </w:tc>
        <w:tc>
          <w:tcPr>
            <w:tcW w:w="859" w:type="dxa"/>
            <w:tcBorders>
              <w:top w:val="single" w:sz="5" w:space="0" w:color="000000"/>
              <w:left w:val="single" w:sz="5" w:space="0" w:color="000000"/>
              <w:bottom w:val="single" w:sz="5"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2</w:t>
            </w:r>
          </w:p>
        </w:tc>
      </w:tr>
      <w:tr w:rsidR="004C32C0" w:rsidRPr="00CC6C75">
        <w:trPr>
          <w:trHeight w:val="639"/>
        </w:trPr>
        <w:tc>
          <w:tcPr>
            <w:tcW w:w="2032" w:type="dxa"/>
            <w:gridSpan w:val="2"/>
            <w:tcBorders>
              <w:top w:val="single" w:sz="5" w:space="0" w:color="000000"/>
              <w:left w:val="single" w:sz="3" w:space="0" w:color="000000"/>
              <w:bottom w:val="single" w:sz="6"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JV of Egis International (Lead) and Egis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Structures &amp; Environnement and Engineering </w:t>
            </w:r>
          </w:p>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 xml:space="preserve">Monitoring Group LLC </w:t>
            </w:r>
          </w:p>
        </w:tc>
        <w:tc>
          <w:tcPr>
            <w:tcW w:w="862" w:type="dxa"/>
            <w:tcBorders>
              <w:top w:val="single" w:sz="5" w:space="0" w:color="000000"/>
              <w:left w:val="single" w:sz="6"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815.68</w:t>
            </w:r>
          </w:p>
        </w:tc>
        <w:tc>
          <w:tcPr>
            <w:tcW w:w="861" w:type="dxa"/>
            <w:tcBorders>
              <w:top w:val="single" w:sz="5" w:space="0" w:color="000000"/>
              <w:left w:val="single" w:sz="5"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652.54</w:t>
            </w:r>
          </w:p>
        </w:tc>
        <w:tc>
          <w:tcPr>
            <w:tcW w:w="859" w:type="dxa"/>
            <w:tcBorders>
              <w:top w:val="single" w:sz="5" w:space="0" w:color="000000"/>
              <w:left w:val="single" w:sz="5" w:space="0" w:color="000000"/>
              <w:bottom w:val="single" w:sz="6"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w:t>
            </w:r>
          </w:p>
        </w:tc>
        <w:tc>
          <w:tcPr>
            <w:tcW w:w="862" w:type="dxa"/>
            <w:tcBorders>
              <w:top w:val="single" w:sz="5" w:space="0" w:color="000000"/>
              <w:left w:val="single" w:sz="6"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20,639,475.79</w:t>
            </w:r>
          </w:p>
        </w:tc>
        <w:tc>
          <w:tcPr>
            <w:tcW w:w="861" w:type="dxa"/>
            <w:tcBorders>
              <w:top w:val="single" w:sz="5" w:space="0" w:color="000000"/>
              <w:left w:val="single" w:sz="5"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805.04</w:t>
            </w:r>
          </w:p>
        </w:tc>
        <w:tc>
          <w:tcPr>
            <w:tcW w:w="861" w:type="dxa"/>
            <w:tcBorders>
              <w:top w:val="single" w:sz="5" w:space="0" w:color="000000"/>
              <w:left w:val="single" w:sz="5"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161.01</w:t>
            </w:r>
          </w:p>
        </w:tc>
        <w:tc>
          <w:tcPr>
            <w:tcW w:w="859" w:type="dxa"/>
            <w:tcBorders>
              <w:top w:val="single" w:sz="5" w:space="0" w:color="000000"/>
              <w:left w:val="single" w:sz="5" w:space="0" w:color="000000"/>
              <w:bottom w:val="single" w:sz="6"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4</w:t>
            </w:r>
          </w:p>
        </w:tc>
        <w:tc>
          <w:tcPr>
            <w:tcW w:w="862" w:type="dxa"/>
            <w:tcBorders>
              <w:top w:val="single" w:sz="5" w:space="0" w:color="000000"/>
              <w:left w:val="single" w:sz="6" w:space="0" w:color="000000"/>
              <w:bottom w:val="single" w:sz="6" w:space="0" w:color="000000"/>
              <w:right w:val="single" w:sz="5"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sz w:val="20"/>
                <w:szCs w:val="20"/>
              </w:rPr>
              <w:t>813.55</w:t>
            </w:r>
          </w:p>
        </w:tc>
        <w:tc>
          <w:tcPr>
            <w:tcW w:w="859" w:type="dxa"/>
            <w:tcBorders>
              <w:top w:val="single" w:sz="5" w:space="0" w:color="000000"/>
              <w:left w:val="single" w:sz="5" w:space="0" w:color="000000"/>
              <w:bottom w:val="single" w:sz="6" w:space="0" w:color="000000"/>
              <w:right w:val="single" w:sz="6" w:space="0" w:color="000000"/>
            </w:tcBorders>
            <w:vAlign w:val="center"/>
          </w:tcPr>
          <w:p w:rsidR="004C32C0" w:rsidRPr="00CC6C75" w:rsidRDefault="00CC6C75" w:rsidP="00CC6C75">
            <w:pPr>
              <w:spacing w:after="0" w:line="240" w:lineRule="auto"/>
              <w:ind w:left="0" w:right="0" w:firstLine="0"/>
              <w:rPr>
                <w:sz w:val="20"/>
                <w:szCs w:val="20"/>
              </w:rPr>
            </w:pPr>
            <w:r w:rsidRPr="00CC6C75">
              <w:rPr>
                <w:rFonts w:eastAsia="Arial" w:cs="Arial"/>
                <w:b/>
                <w:sz w:val="20"/>
                <w:szCs w:val="20"/>
              </w:rPr>
              <w:t>3</w:t>
            </w:r>
          </w:p>
        </w:tc>
      </w:tr>
    </w:tbl>
    <w:p w:rsidR="00F163E2" w:rsidRDefault="00CC6C75" w:rsidP="00F163E2">
      <w:pPr>
        <w:spacing w:after="0" w:line="240" w:lineRule="auto"/>
        <w:ind w:left="0" w:right="0" w:firstLine="720"/>
        <w:rPr>
          <w:sz w:val="20"/>
          <w:szCs w:val="20"/>
        </w:rPr>
      </w:pPr>
      <w:r w:rsidRPr="00CC6C75">
        <w:rPr>
          <w:sz w:val="20"/>
          <w:szCs w:val="20"/>
        </w:rPr>
        <w:t xml:space="preserve">2020 წლის 12 თებერვალს გაიმართა საკონტრაქტო მოლაპარაკებები დეპარტამენტსა და გამარჯვებულ </w:t>
      </w:r>
      <w:r w:rsidR="00226050">
        <w:rPr>
          <w:sz w:val="20"/>
          <w:szCs w:val="20"/>
          <w:lang w:val="ka-GE"/>
        </w:rPr>
        <w:t xml:space="preserve">კომპანიასთან, </w:t>
      </w:r>
      <w:r w:rsidRPr="00CC6C75">
        <w:rPr>
          <w:sz w:val="20"/>
          <w:szCs w:val="20"/>
        </w:rPr>
        <w:t>ერთობლივ საწარმოს</w:t>
      </w:r>
      <w:r w:rsidR="00226050">
        <w:rPr>
          <w:sz w:val="20"/>
          <w:szCs w:val="20"/>
          <w:lang w:val="ka-GE"/>
        </w:rPr>
        <w:t xml:space="preserve"> -</w:t>
      </w:r>
      <w:r w:rsidRPr="00CC6C75">
        <w:rPr>
          <w:sz w:val="20"/>
          <w:szCs w:val="20"/>
        </w:rPr>
        <w:t xml:space="preserve"> </w:t>
      </w:r>
      <w:r w:rsidRPr="00226050">
        <w:rPr>
          <w:sz w:val="20"/>
          <w:szCs w:val="20"/>
        </w:rPr>
        <w:t>UBM</w:t>
      </w:r>
      <w:r w:rsidR="00226050" w:rsidRPr="00226050">
        <w:rPr>
          <w:sz w:val="20"/>
          <w:szCs w:val="20"/>
          <w:lang w:val="ka-GE"/>
        </w:rPr>
        <w:t xml:space="preserve"> </w:t>
      </w:r>
      <w:r w:rsidRPr="00226050">
        <w:rPr>
          <w:sz w:val="20"/>
          <w:szCs w:val="20"/>
        </w:rPr>
        <w:t>ULUSLARARASI BİRLEŞMİŞ MÜŞAVİRLER MÜŞAVİRLİK HİZMETLERİ A.Ş. და SMEC International PTY LTD</w:t>
      </w:r>
      <w:r w:rsidRPr="00CC6C75">
        <w:rPr>
          <w:b/>
          <w:sz w:val="20"/>
          <w:szCs w:val="20"/>
        </w:rPr>
        <w:t xml:space="preserve"> </w:t>
      </w:r>
      <w:r w:rsidRPr="00CC6C75">
        <w:rPr>
          <w:sz w:val="20"/>
          <w:szCs w:val="20"/>
        </w:rPr>
        <w:t xml:space="preserve">შორის. </w:t>
      </w:r>
      <w:proofErr w:type="gramStart"/>
      <w:r w:rsidRPr="00CC6C75">
        <w:rPr>
          <w:sz w:val="20"/>
          <w:szCs w:val="20"/>
        </w:rPr>
        <w:t>მოლაპარაკებების</w:t>
      </w:r>
      <w:proofErr w:type="gramEnd"/>
      <w:r w:rsidRPr="00CC6C75">
        <w:rPr>
          <w:sz w:val="20"/>
          <w:szCs w:val="20"/>
        </w:rPr>
        <w:t xml:space="preserve"> დასრულების შემდეგ ხელშეკრულების პროექტი შესათანხმებლად გაგზავნილ იქნა აზიის განვითარების ბანკში (2020 წლის 6 მარტს). </w:t>
      </w:r>
      <w:proofErr w:type="gramStart"/>
      <w:r w:rsidRPr="00CC6C75">
        <w:rPr>
          <w:sz w:val="20"/>
          <w:szCs w:val="20"/>
        </w:rPr>
        <w:t>ბანკის</w:t>
      </w:r>
      <w:proofErr w:type="gramEnd"/>
      <w:r w:rsidRPr="00CC6C75">
        <w:rPr>
          <w:sz w:val="20"/>
          <w:szCs w:val="20"/>
        </w:rPr>
        <w:t xml:space="preserve"> თანხმობა მიღებულ იქნა 2020 წლის 17 მარტს.</w:t>
      </w:r>
    </w:p>
    <w:p w:rsidR="00F163E2" w:rsidRDefault="00CC6C75" w:rsidP="00F163E2">
      <w:pPr>
        <w:spacing w:after="0" w:line="240" w:lineRule="auto"/>
        <w:ind w:left="0" w:right="0" w:firstLine="720"/>
        <w:rPr>
          <w:sz w:val="20"/>
          <w:szCs w:val="20"/>
        </w:rPr>
      </w:pPr>
      <w:r w:rsidRPr="00CC6C75">
        <w:rPr>
          <w:sz w:val="20"/>
          <w:szCs w:val="20"/>
        </w:rPr>
        <w:t>„უცხოელი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 საქართველოს მთავრობის 2010 წლის 11 მაისის №139 დადგენილების პირველი მუხლის „ა“ ქვეპუნქტის შესაბამისად, თუ ხელშეკრულების პროექტი გამოსაყენებელ სამართლად ითვალისწინებს უცხო ქვეყნის სამართალს ან/და დავების გადაწყვეტის მექანიზმად საერთაშორისო არბიტრაჟს, ან უცხო ქვეყნის სასამართლოს, ხელშეკრულების პროექტი შესაბამისი უწყებების დასკვნებთან ერთად განსახილველად უნდა წარედგინოს საქართველოს მთავრობას, ფაქტობრივი და სამართლებრივი რისკების წინასწარი შეფასების მიზნით.</w:t>
      </w:r>
    </w:p>
    <w:p w:rsidR="00F163E2" w:rsidRDefault="00CC6C75" w:rsidP="00F163E2">
      <w:pPr>
        <w:spacing w:after="0" w:line="240" w:lineRule="auto"/>
        <w:ind w:left="0" w:right="0" w:firstLine="720"/>
        <w:rPr>
          <w:sz w:val="20"/>
          <w:szCs w:val="20"/>
        </w:rPr>
      </w:pPr>
      <w:proofErr w:type="gramStart"/>
      <w:r w:rsidRPr="00CC6C75">
        <w:rPr>
          <w:sz w:val="20"/>
          <w:szCs w:val="20"/>
        </w:rPr>
        <w:t>ამასთან, „საქართველოს იუსტიციის სამინისტროს დებულების დამტკიცების შესახებ“ საქართველოს მთავრობის 2013 წლის 30 დეკემბრის №389 დადგენილებით დამტკიცებული დებულების მე-4 მუხლის პირველი პუნქტის „თ“ ქვეპუნქტის შესაბამისად, საქართველოს იუსტიციის სამინისტროს უფლებამოსილებას მიეკუთვნება სასესხო და სხვა ხასიათის იმ ადმინისტრაციულ ხელშეკრულებათა პროექტების (გარდა ადმინისტრაციული ხასიათის საგრანტო ხელშეკრულებათა პროექტებისა) სამართლებრივი ექსპერტიზა საქართველოს კანონმდებლობასთან მათი შესაბამისობის დადგენის მიზნით, რომელთა ღირებულება აღემატება მილიონ ლარს ან/და რომლებიც ითვალისწინებს მხარეთა შორის დავის გადაწყვეტას არბიტრაჟის ან უცხო ქვეყნის სასამართლოს მიერ.</w:t>
      </w:r>
      <w:proofErr w:type="gramEnd"/>
    </w:p>
    <w:p w:rsidR="00F163E2" w:rsidRDefault="00CC6C75" w:rsidP="00C31E8B">
      <w:pPr>
        <w:spacing w:after="0" w:line="240" w:lineRule="auto"/>
        <w:ind w:left="0" w:right="0" w:firstLine="720"/>
        <w:rPr>
          <w:sz w:val="20"/>
          <w:szCs w:val="20"/>
        </w:rPr>
      </w:pPr>
      <w:proofErr w:type="gramStart"/>
      <w:r w:rsidRPr="00CC6C75">
        <w:rPr>
          <w:sz w:val="20"/>
          <w:szCs w:val="20"/>
        </w:rPr>
        <w:t>ნიშანდობლივია</w:t>
      </w:r>
      <w:proofErr w:type="gramEnd"/>
      <w:r w:rsidRPr="00CC6C75">
        <w:rPr>
          <w:sz w:val="20"/>
          <w:szCs w:val="20"/>
        </w:rPr>
        <w:t xml:space="preserve"> ის გარემოება, რომ ხელშეკრულებით დასარეგულირებელ ურთიერთობებთან დაკავშირებული დავების გადაწყვეტის მექანიზმად განსაზღვრულია საერთაშორისო არბიტრაჟი </w:t>
      </w:r>
      <w:r w:rsidR="00AF541A">
        <w:rPr>
          <w:sz w:val="20"/>
          <w:szCs w:val="20"/>
          <w:lang w:val="ka-GE"/>
        </w:rPr>
        <w:t>(</w:t>
      </w:r>
      <w:r w:rsidR="00272615">
        <w:rPr>
          <w:sz w:val="20"/>
          <w:szCs w:val="20"/>
          <w:lang w:val="ka-GE"/>
        </w:rPr>
        <w:t>განმხილველი სასამართლო - ლონდონის საერთაშორისო არბიტრაჟის სასამართლო</w:t>
      </w:r>
      <w:r w:rsidR="00C31E8B" w:rsidRPr="00C31E8B">
        <w:rPr>
          <w:sz w:val="20"/>
          <w:szCs w:val="20"/>
          <w:lang w:val="ka-GE"/>
        </w:rPr>
        <w:t xml:space="preserve"> (LCIA)</w:t>
      </w:r>
      <w:r w:rsidR="00C31E8B">
        <w:rPr>
          <w:sz w:val="20"/>
          <w:szCs w:val="20"/>
          <w:lang w:val="ka-GE"/>
        </w:rPr>
        <w:t>, შვეიცარია</w:t>
      </w:r>
      <w:r w:rsidR="00AF541A">
        <w:rPr>
          <w:sz w:val="20"/>
          <w:szCs w:val="20"/>
          <w:lang w:val="ka-GE"/>
        </w:rPr>
        <w:t xml:space="preserve">) </w:t>
      </w:r>
      <w:r w:rsidRPr="00CC6C75">
        <w:rPr>
          <w:sz w:val="20"/>
          <w:szCs w:val="20"/>
        </w:rPr>
        <w:t xml:space="preserve">და, ამასთან, ხელშეკრულების ღირებულება აღემატება 1 000 000 </w:t>
      </w:r>
      <w:r w:rsidRPr="00CC6C75">
        <w:rPr>
          <w:sz w:val="20"/>
          <w:szCs w:val="20"/>
        </w:rPr>
        <w:lastRenderedPageBreak/>
        <w:t>ლარს, შესაბამისად, ხელშეკრულების პროექტი, კანონმდებლობით დადგენილი წესით, შეთანხმდა საქართველოს იუსტიციის სამინისტროსთან.</w:t>
      </w:r>
    </w:p>
    <w:p w:rsidR="00F163E2" w:rsidRDefault="00CC6C75" w:rsidP="00F163E2">
      <w:pPr>
        <w:spacing w:after="0" w:line="240" w:lineRule="auto"/>
        <w:ind w:left="0" w:right="0" w:firstLine="720"/>
        <w:rPr>
          <w:sz w:val="20"/>
          <w:szCs w:val="20"/>
        </w:rPr>
      </w:pPr>
      <w:r w:rsidRPr="00CC6C75">
        <w:rPr>
          <w:sz w:val="20"/>
          <w:szCs w:val="20"/>
        </w:rPr>
        <w:t>დეპარტამენტმა 2020 წლის 26 თებერვლის №2-07/2492 წერილით მიმართა საქართველოს იუსტიციის სამინისტროს ხელშეკრულების პროექტზე დასკვნის მიღების მიზნით, ხოლო 2020 წლის</w:t>
      </w:r>
      <w:r w:rsidR="005E6D65">
        <w:rPr>
          <w:sz w:val="20"/>
          <w:szCs w:val="20"/>
        </w:rPr>
        <w:t xml:space="preserve"> </w:t>
      </w:r>
      <w:r w:rsidRPr="00CC6C75">
        <w:rPr>
          <w:sz w:val="20"/>
          <w:szCs w:val="20"/>
        </w:rPr>
        <w:t>9 მარტის საქართველოს იუსტიციის სამინისტროს №3904 წერილით დეპარტამენტმა მიიღო შესაბამისი დასკვნა (იხ. შეთანხმების ფურცელი).</w:t>
      </w:r>
    </w:p>
    <w:p w:rsidR="00F163E2" w:rsidRDefault="00CC6C75" w:rsidP="00F163E2">
      <w:pPr>
        <w:spacing w:after="0" w:line="240" w:lineRule="auto"/>
        <w:ind w:left="0" w:right="0" w:firstLine="720"/>
        <w:rPr>
          <w:sz w:val="20"/>
          <w:szCs w:val="20"/>
        </w:rPr>
      </w:pPr>
      <w:proofErr w:type="gramStart"/>
      <w:r w:rsidRPr="00CC6C75">
        <w:rPr>
          <w:sz w:val="20"/>
          <w:szCs w:val="20"/>
        </w:rPr>
        <w:t>მნიშვნელოვანია</w:t>
      </w:r>
      <w:proofErr w:type="gramEnd"/>
      <w:r w:rsidRPr="00CC6C75">
        <w:rPr>
          <w:sz w:val="20"/>
          <w:szCs w:val="20"/>
        </w:rPr>
        <w:t xml:space="preserve">, რომ ხელშეკრულების ფარგლებში განხორციელებული შესყიდვის პროცედურები შეესაბამებოდა აზიის განვითარების ბანკის მიერ შემუშავებულ შესყიდვების სახელმძღვანელოს (Procurement Regulations for ADB Borrowers). </w:t>
      </w:r>
      <w:proofErr w:type="gramStart"/>
      <w:r w:rsidRPr="00CC6C75">
        <w:rPr>
          <w:sz w:val="20"/>
          <w:szCs w:val="20"/>
        </w:rPr>
        <w:t>აზიის</w:t>
      </w:r>
      <w:proofErr w:type="gramEnd"/>
      <w:r w:rsidRPr="00CC6C75">
        <w:rPr>
          <w:sz w:val="20"/>
          <w:szCs w:val="20"/>
        </w:rPr>
        <w:t xml:space="preserve"> განვითარების ბანკს დამტკიცებული აქვს წინადადებების მოთხოვნის ფორმა (RFP), რომელიც მოიცავს კონტრაქტის სტანდარტულ ფორმასაც. </w:t>
      </w:r>
      <w:proofErr w:type="gramStart"/>
      <w:r w:rsidRPr="00CC6C75">
        <w:rPr>
          <w:sz w:val="20"/>
          <w:szCs w:val="20"/>
        </w:rPr>
        <w:t>ამდენად</w:t>
      </w:r>
      <w:proofErr w:type="gramEnd"/>
      <w:r w:rsidRPr="00CC6C75">
        <w:rPr>
          <w:sz w:val="20"/>
          <w:szCs w:val="20"/>
        </w:rPr>
        <w:t xml:space="preserve">, დეპარტამენტი მოკლებულია შესაძლებლობას, განახორციელოს რაიმე ცვლილება ხელშეკრულების პროექტში. </w:t>
      </w:r>
      <w:proofErr w:type="gramStart"/>
      <w:r w:rsidRPr="00CC6C75">
        <w:rPr>
          <w:sz w:val="20"/>
          <w:szCs w:val="20"/>
        </w:rPr>
        <w:t>თუმცა</w:t>
      </w:r>
      <w:proofErr w:type="gramEnd"/>
      <w:r w:rsidRPr="00CC6C75">
        <w:rPr>
          <w:sz w:val="20"/>
          <w:szCs w:val="20"/>
        </w:rPr>
        <w:t>, საქართველოს იუსტიციის სამინისტროს შენიშვნებთან დაკავშირებით, ასევე, გასათვალისწინებელია ცალკეული გარემოებები, კერძოდ</w:t>
      </w:r>
      <w:r w:rsidR="00F163E2">
        <w:rPr>
          <w:sz w:val="20"/>
          <w:szCs w:val="20"/>
        </w:rPr>
        <w:t>:</w:t>
      </w:r>
    </w:p>
    <w:p w:rsidR="00F163E2" w:rsidRPr="0098526E" w:rsidRDefault="00CC6C75" w:rsidP="00F163E2">
      <w:pPr>
        <w:spacing w:after="0" w:line="240" w:lineRule="auto"/>
        <w:ind w:left="0" w:right="0" w:firstLine="720"/>
        <w:rPr>
          <w:sz w:val="20"/>
          <w:szCs w:val="20"/>
        </w:rPr>
      </w:pPr>
      <w:r w:rsidRPr="0098526E">
        <w:rPr>
          <w:sz w:val="20"/>
          <w:szCs w:val="20"/>
        </w:rPr>
        <w:t xml:space="preserve">ა) </w:t>
      </w:r>
      <w:proofErr w:type="gramStart"/>
      <w:r w:rsidRPr="0098526E">
        <w:rPr>
          <w:sz w:val="20"/>
          <w:szCs w:val="20"/>
        </w:rPr>
        <w:t>ხელშეკრულების</w:t>
      </w:r>
      <w:proofErr w:type="gramEnd"/>
      <w:r w:rsidRPr="0098526E">
        <w:rPr>
          <w:sz w:val="20"/>
          <w:szCs w:val="20"/>
        </w:rPr>
        <w:t xml:space="preserve"> პირველი ნაწილის „ხელშეკრულების ფორმის“ </w:t>
      </w:r>
      <w:r w:rsidR="0098526E">
        <w:rPr>
          <w:sz w:val="20"/>
          <w:szCs w:val="20"/>
          <w:lang w:val="ka-GE"/>
        </w:rPr>
        <w:t>„</w:t>
      </w:r>
      <w:r w:rsidRPr="0098526E">
        <w:rPr>
          <w:sz w:val="20"/>
          <w:szCs w:val="20"/>
        </w:rPr>
        <w:t>c</w:t>
      </w:r>
      <w:r w:rsidR="0098526E">
        <w:rPr>
          <w:sz w:val="20"/>
          <w:szCs w:val="20"/>
          <w:lang w:val="ka-GE"/>
        </w:rPr>
        <w:t>“</w:t>
      </w:r>
      <w:r w:rsidRPr="0098526E">
        <w:rPr>
          <w:sz w:val="20"/>
          <w:szCs w:val="20"/>
        </w:rPr>
        <w:t xml:space="preserve"> პუნქტი არის აზიის განვითარების ბანკის მიერ შემუშავებული სტანდარტული ტექსტი და ცვლილებას არ ექვემდებარება. </w:t>
      </w:r>
      <w:proofErr w:type="gramStart"/>
      <w:r w:rsidRPr="0098526E">
        <w:rPr>
          <w:sz w:val="20"/>
          <w:szCs w:val="20"/>
        </w:rPr>
        <w:t>გარდა</w:t>
      </w:r>
      <w:proofErr w:type="gramEnd"/>
      <w:r w:rsidRPr="0098526E">
        <w:rPr>
          <w:sz w:val="20"/>
          <w:szCs w:val="20"/>
        </w:rPr>
        <w:t xml:space="preserve"> ამისა, „ხელშეკრულების ზოგადი პირობებში“ ნათლად არის განმარტებული დამკვეთის (client) და მსესხებლის (borrower) ცნებები (პუნქტები „e“ და „f“). </w:t>
      </w:r>
      <w:proofErr w:type="gramStart"/>
      <w:r w:rsidRPr="0098526E">
        <w:rPr>
          <w:sz w:val="20"/>
          <w:szCs w:val="20"/>
        </w:rPr>
        <w:t>ამასთან</w:t>
      </w:r>
      <w:proofErr w:type="gramEnd"/>
      <w:r w:rsidRPr="0098526E">
        <w:rPr>
          <w:sz w:val="20"/>
          <w:szCs w:val="20"/>
        </w:rPr>
        <w:t>, სესხის თანხას განკარგავს დეპარტამენტი, ხოლო სესხს იღებს საქართველო</w:t>
      </w:r>
      <w:r w:rsidR="0098526E">
        <w:rPr>
          <w:sz w:val="20"/>
          <w:szCs w:val="20"/>
          <w:lang w:val="ka-GE"/>
        </w:rPr>
        <w:t xml:space="preserve">, </w:t>
      </w:r>
      <w:r w:rsidRPr="0098526E">
        <w:rPr>
          <w:sz w:val="20"/>
          <w:szCs w:val="20"/>
        </w:rPr>
        <w:t>როგორც მსესხებელი (</w:t>
      </w:r>
      <w:r w:rsidR="00071293">
        <w:rPr>
          <w:sz w:val="20"/>
          <w:szCs w:val="20"/>
          <w:lang w:val="ka-GE"/>
        </w:rPr>
        <w:t>„</w:t>
      </w:r>
      <w:r w:rsidRPr="0098526E">
        <w:rPr>
          <w:sz w:val="20"/>
          <w:szCs w:val="20"/>
        </w:rPr>
        <w:t>borrower</w:t>
      </w:r>
      <w:r w:rsidR="00071293">
        <w:rPr>
          <w:sz w:val="20"/>
          <w:szCs w:val="20"/>
          <w:lang w:val="ka-GE"/>
        </w:rPr>
        <w:t>“</w:t>
      </w:r>
      <w:r w:rsidRPr="0098526E">
        <w:rPr>
          <w:sz w:val="20"/>
          <w:szCs w:val="20"/>
        </w:rPr>
        <w:t>).</w:t>
      </w:r>
    </w:p>
    <w:p w:rsidR="00F163E2" w:rsidRDefault="00CC6C75" w:rsidP="00F163E2">
      <w:pPr>
        <w:spacing w:after="0" w:line="240" w:lineRule="auto"/>
        <w:ind w:left="0" w:right="0" w:firstLine="720"/>
        <w:rPr>
          <w:sz w:val="20"/>
          <w:szCs w:val="20"/>
        </w:rPr>
      </w:pPr>
      <w:r w:rsidRPr="0098526E">
        <w:rPr>
          <w:sz w:val="20"/>
          <w:szCs w:val="20"/>
        </w:rPr>
        <w:t>ბ)</w:t>
      </w:r>
      <w:r w:rsidRPr="00CC6C75">
        <w:rPr>
          <w:sz w:val="20"/>
          <w:szCs w:val="20"/>
        </w:rPr>
        <w:t xml:space="preserve"> </w:t>
      </w:r>
      <w:proofErr w:type="gramStart"/>
      <w:r w:rsidRPr="00CC6C75">
        <w:rPr>
          <w:sz w:val="20"/>
          <w:szCs w:val="20"/>
        </w:rPr>
        <w:t>განხორციელებული</w:t>
      </w:r>
      <w:proofErr w:type="gramEnd"/>
      <w:r w:rsidRPr="00CC6C75">
        <w:rPr>
          <w:sz w:val="20"/>
          <w:szCs w:val="20"/>
        </w:rPr>
        <w:t xml:space="preserve"> შესყიდვის პროცედურები შეესაბამება აზიის განვითარების ბანკის მიერ შემუშავებულ შესყიდვების სახელმძღვანელოს (Procurement Regulations for ADB Borrowers).</w:t>
      </w:r>
      <w:r w:rsidR="00F163E2">
        <w:rPr>
          <w:sz w:val="20"/>
          <w:szCs w:val="20"/>
          <w:lang w:val="ka-GE"/>
        </w:rPr>
        <w:t xml:space="preserve"> </w:t>
      </w:r>
      <w:proofErr w:type="gramStart"/>
      <w:r w:rsidRPr="00CC6C75">
        <w:rPr>
          <w:sz w:val="20"/>
          <w:szCs w:val="20"/>
        </w:rPr>
        <w:t>ამდენად</w:t>
      </w:r>
      <w:proofErr w:type="gramEnd"/>
      <w:r w:rsidRPr="00CC6C75">
        <w:rPr>
          <w:sz w:val="20"/>
          <w:szCs w:val="20"/>
        </w:rPr>
        <w:t xml:space="preserve">, დეპარტამენტი მოკლებულია შესაძლებლობას, რაიმე სახის ცვლილება შეიტანოს ხელშეკრულების პროექტში. </w:t>
      </w:r>
      <w:proofErr w:type="gramStart"/>
      <w:r w:rsidRPr="00CC6C75">
        <w:rPr>
          <w:sz w:val="20"/>
          <w:szCs w:val="20"/>
        </w:rPr>
        <w:t>დამატებით</w:t>
      </w:r>
      <w:proofErr w:type="gramEnd"/>
      <w:r w:rsidRPr="00CC6C75">
        <w:rPr>
          <w:sz w:val="20"/>
          <w:szCs w:val="20"/>
        </w:rPr>
        <w:t xml:space="preserve">, აღსანიშნავია, რომ სახელშეკრულებო ურთიერთობის ფარგლებში შეუძლებელია მხარეებმა წინასწარ განსაზღვრონ ყველა ის გარემოება, რომელიც შესაძლოა წარმოიშვას ხელშეკრულების მიმდინარეობის პერიოდში. </w:t>
      </w:r>
      <w:proofErr w:type="gramStart"/>
      <w:r w:rsidRPr="00CC6C75">
        <w:rPr>
          <w:sz w:val="20"/>
          <w:szCs w:val="20"/>
        </w:rPr>
        <w:t>აღნიშნულის</w:t>
      </w:r>
      <w:proofErr w:type="gramEnd"/>
      <w:r w:rsidRPr="00CC6C75">
        <w:rPr>
          <w:sz w:val="20"/>
          <w:szCs w:val="20"/>
        </w:rPr>
        <w:t xml:space="preserve"> გათვალისწინებით, პრაქტიკაში მიღებულია ისეთი ჩანაწერების გამოყენება, როგორიცაა, მაგალითად, „არსებითი მოდიფიკაცია“. </w:t>
      </w:r>
      <w:proofErr w:type="gramStart"/>
      <w:r w:rsidRPr="00CC6C75">
        <w:rPr>
          <w:sz w:val="20"/>
          <w:szCs w:val="20"/>
        </w:rPr>
        <w:t>მხარეებმა</w:t>
      </w:r>
      <w:proofErr w:type="gramEnd"/>
      <w:r w:rsidRPr="00CC6C75">
        <w:rPr>
          <w:sz w:val="20"/>
          <w:szCs w:val="20"/>
        </w:rPr>
        <w:t xml:space="preserve"> ყოველ კონკრეტულ შემთხვევაში, გონივრულობის ფარგლებში, უნდა შეაფასონ მოდიფიკაციის შინაარსის გავლენა ხელშეკრულებაზე და იმოქმედონ ხელშეკრულების შესაბამისად.</w:t>
      </w:r>
    </w:p>
    <w:p w:rsidR="00F163E2" w:rsidRDefault="00CC6C75" w:rsidP="00F163E2">
      <w:pPr>
        <w:spacing w:after="0" w:line="240" w:lineRule="auto"/>
        <w:ind w:left="0" w:right="0" w:firstLine="720"/>
        <w:rPr>
          <w:sz w:val="20"/>
          <w:szCs w:val="20"/>
          <w:lang w:val="ka-GE"/>
        </w:rPr>
      </w:pPr>
      <w:r w:rsidRPr="002D5E00">
        <w:rPr>
          <w:sz w:val="20"/>
          <w:szCs w:val="20"/>
        </w:rPr>
        <w:t>გ)</w:t>
      </w:r>
      <w:r w:rsidRPr="00CC6C75">
        <w:rPr>
          <w:b/>
          <w:sz w:val="20"/>
          <w:szCs w:val="20"/>
        </w:rPr>
        <w:t xml:space="preserve"> </w:t>
      </w:r>
      <w:proofErr w:type="gramStart"/>
      <w:r w:rsidRPr="00CC6C75">
        <w:rPr>
          <w:sz w:val="20"/>
          <w:szCs w:val="20"/>
        </w:rPr>
        <w:t>მნიშვნელოვანია</w:t>
      </w:r>
      <w:proofErr w:type="gramEnd"/>
      <w:r w:rsidRPr="00CC6C75">
        <w:rPr>
          <w:sz w:val="20"/>
          <w:szCs w:val="20"/>
        </w:rPr>
        <w:t xml:space="preserve">, რომ ხელშეკრულების ფარგლებში განხორციელებული შესყიდვის პროცედურები შეესაბამება აზიის განვითარების ბანკის მიერ შემუშავებულ შესყიდვების სახელმძღვანელოს („Procurement Regulations for ADB Borrowers“). </w:t>
      </w:r>
      <w:proofErr w:type="gramStart"/>
      <w:r w:rsidRPr="00CC6C75">
        <w:rPr>
          <w:sz w:val="20"/>
          <w:szCs w:val="20"/>
        </w:rPr>
        <w:t>ამდენად</w:t>
      </w:r>
      <w:proofErr w:type="gramEnd"/>
      <w:r w:rsidRPr="00CC6C75">
        <w:rPr>
          <w:sz w:val="20"/>
          <w:szCs w:val="20"/>
        </w:rPr>
        <w:t xml:space="preserve">, ამ შემთხვევაში, დეპარტამენტი მოკლებულია შესაძლებლობას, განახორციელოს რაიმე სახის ცვლილება ხელშეკრულების პროექტში. </w:t>
      </w:r>
      <w:proofErr w:type="gramStart"/>
      <w:r w:rsidRPr="00CC6C75">
        <w:rPr>
          <w:sz w:val="20"/>
          <w:szCs w:val="20"/>
        </w:rPr>
        <w:t>თუმცა</w:t>
      </w:r>
      <w:proofErr w:type="gramEnd"/>
      <w:r w:rsidRPr="00CC6C75">
        <w:rPr>
          <w:sz w:val="20"/>
          <w:szCs w:val="20"/>
        </w:rPr>
        <w:t xml:space="preserve">, ვინაიდან ხდება საავტომობილო გზის მშენებლობის ზედამხედველობა, მშენებლობა კი დაკავშირებულია მრავალი პირობის ერთობლივად არსებობაზე, განსაკუთრებით კი, მხარეთა ფულადი ვალდებულებების დროულ შესრულებაზე, ხელშეკრულებით ფორსმაჟორული გარემოებები არ ვრცელდება მხარეთა ფულად ვალდებულებებზე. </w:t>
      </w:r>
      <w:proofErr w:type="gramStart"/>
      <w:r w:rsidRPr="00CC6C75">
        <w:rPr>
          <w:sz w:val="20"/>
          <w:szCs w:val="20"/>
        </w:rPr>
        <w:t>აღნიშნული</w:t>
      </w:r>
      <w:proofErr w:type="gramEnd"/>
      <w:r w:rsidRPr="00CC6C75">
        <w:rPr>
          <w:sz w:val="20"/>
          <w:szCs w:val="20"/>
        </w:rPr>
        <w:t xml:space="preserve"> განპირობებულია იმ გარემოებით, რომ თანხის გადაუხდელობა მთლიანად აჩერებს ფაქტობრივად მშენებლობის ხარისხის განმაპირობებელ ერთ-ერთ უმიშვნელოვანეს გარემოებას - მასზე ზედამხედველობის პროცესს და ეჭვქვეშ აყენებს ხელშეკრულების შესრულების - საავტომობილო გზის მშენებლობის საკითხს. </w:t>
      </w:r>
      <w:proofErr w:type="gramStart"/>
      <w:r w:rsidRPr="00CC6C75">
        <w:rPr>
          <w:sz w:val="20"/>
          <w:szCs w:val="20"/>
        </w:rPr>
        <w:t>ფორსმაჟორად</w:t>
      </w:r>
      <w:proofErr w:type="gramEnd"/>
      <w:r w:rsidRPr="00CC6C75">
        <w:rPr>
          <w:sz w:val="20"/>
          <w:szCs w:val="20"/>
        </w:rPr>
        <w:t xml:space="preserve"> ითვლება მხოლოდ</w:t>
      </w:r>
      <w:r w:rsidR="00F163E2">
        <w:rPr>
          <w:sz w:val="20"/>
          <w:szCs w:val="20"/>
          <w:lang w:val="ka-GE"/>
        </w:rPr>
        <w:t xml:space="preserve"> </w:t>
      </w:r>
      <w:r w:rsidRPr="00CC6C75">
        <w:rPr>
          <w:sz w:val="20"/>
          <w:szCs w:val="20"/>
        </w:rPr>
        <w:t>ისეთი</w:t>
      </w:r>
      <w:r w:rsidR="00F163E2">
        <w:rPr>
          <w:sz w:val="20"/>
          <w:szCs w:val="20"/>
          <w:lang w:val="ka-GE"/>
        </w:rPr>
        <w:t xml:space="preserve"> </w:t>
      </w:r>
      <w:r w:rsidRPr="00CC6C75">
        <w:rPr>
          <w:sz w:val="20"/>
          <w:szCs w:val="20"/>
        </w:rPr>
        <w:t>გარემოება,</w:t>
      </w:r>
      <w:r w:rsidR="00F163E2">
        <w:rPr>
          <w:sz w:val="20"/>
          <w:szCs w:val="20"/>
          <w:lang w:val="ka-GE"/>
        </w:rPr>
        <w:t xml:space="preserve"> </w:t>
      </w:r>
      <w:r w:rsidRPr="00CC6C75">
        <w:rPr>
          <w:sz w:val="20"/>
          <w:szCs w:val="20"/>
        </w:rPr>
        <w:t>რომელიც შეუძლებელია</w:t>
      </w:r>
      <w:r w:rsidR="00F163E2">
        <w:rPr>
          <w:sz w:val="20"/>
          <w:szCs w:val="20"/>
          <w:lang w:val="ka-GE"/>
        </w:rPr>
        <w:t xml:space="preserve"> </w:t>
      </w:r>
      <w:r w:rsidRPr="00CC6C75">
        <w:rPr>
          <w:sz w:val="20"/>
          <w:szCs w:val="20"/>
        </w:rPr>
        <w:t>ექცეოდეს</w:t>
      </w:r>
      <w:r w:rsidR="00F163E2">
        <w:rPr>
          <w:sz w:val="20"/>
          <w:szCs w:val="20"/>
          <w:lang w:val="ka-GE"/>
        </w:rPr>
        <w:t xml:space="preserve"> </w:t>
      </w:r>
      <w:r w:rsidRPr="00CC6C75">
        <w:rPr>
          <w:sz w:val="20"/>
          <w:szCs w:val="20"/>
        </w:rPr>
        <w:t>მხარეთა</w:t>
      </w:r>
      <w:r w:rsidR="00F163E2">
        <w:rPr>
          <w:sz w:val="20"/>
          <w:szCs w:val="20"/>
          <w:lang w:val="ka-GE"/>
        </w:rPr>
        <w:t xml:space="preserve"> </w:t>
      </w:r>
      <w:r w:rsidRPr="00CC6C75">
        <w:rPr>
          <w:sz w:val="20"/>
          <w:szCs w:val="20"/>
        </w:rPr>
        <w:t xml:space="preserve">განჭვრეტადობის არეში, ხოლო ზოგადად, ნაკლებად სავარაუდოა ისეთი ფაქტობრივი გარემოებების არსებობა, რომელიც შეუძლებელს გახდის ფულადი ხასიათის ვალდებულების დროულად შესრულების განსაზღვრას მხარეთა მიერ. </w:t>
      </w:r>
      <w:proofErr w:type="gramStart"/>
      <w:r w:rsidRPr="00CC6C75">
        <w:rPr>
          <w:sz w:val="20"/>
          <w:szCs w:val="20"/>
        </w:rPr>
        <w:t>შესაბამისად</w:t>
      </w:r>
      <w:proofErr w:type="gramEnd"/>
      <w:r w:rsidRPr="00CC6C75">
        <w:rPr>
          <w:sz w:val="20"/>
          <w:szCs w:val="20"/>
        </w:rPr>
        <w:t>, მიზანშეწონილია, ფორსმაჟორული გარემოებები არ გავრცელდეს მხარეთა ფულად ვალდებულებებზე</w:t>
      </w:r>
      <w:r w:rsidR="00F163E2">
        <w:rPr>
          <w:sz w:val="20"/>
          <w:szCs w:val="20"/>
        </w:rPr>
        <w:t>.</w:t>
      </w:r>
      <w:r w:rsidR="00F163E2">
        <w:rPr>
          <w:sz w:val="20"/>
          <w:szCs w:val="20"/>
          <w:lang w:val="ka-GE"/>
        </w:rPr>
        <w:t xml:space="preserve"> </w:t>
      </w:r>
    </w:p>
    <w:p w:rsidR="00F163E2" w:rsidRPr="008D129D" w:rsidRDefault="00F163E2" w:rsidP="00F163E2">
      <w:pPr>
        <w:spacing w:after="0" w:line="240" w:lineRule="auto"/>
        <w:ind w:left="0" w:right="0" w:firstLine="720"/>
        <w:rPr>
          <w:sz w:val="20"/>
          <w:szCs w:val="20"/>
          <w:lang w:val="ka-GE"/>
        </w:rPr>
      </w:pPr>
      <w:r>
        <w:rPr>
          <w:sz w:val="20"/>
          <w:szCs w:val="20"/>
          <w:lang w:val="ka-GE"/>
        </w:rPr>
        <w:t>რ</w:t>
      </w:r>
      <w:r w:rsidR="00CC6C75" w:rsidRPr="008D129D">
        <w:rPr>
          <w:sz w:val="20"/>
          <w:szCs w:val="20"/>
          <w:lang w:val="ka-GE"/>
        </w:rPr>
        <w:t>აც შეეხება ხელშეკრულების 17.1 მუხლს, აღსანიშნავია, რომ ფორსმაჟორული გარემოების დეფინიციის შესაბამისად, ფორსმაჟორი არის შემთხვევა, რომელიც არ ექცევა მხარის კონტროლის ფარგლებში, შეუძლებელია მისი წინასწარ გათვალისწინება და აცილება და მხარეს ართმევს ხელშეკრულებით გათვალისწინებული ვალდებულების შესრულების შესაძლებლობას. აღნიშნულის გათვალისწინებით, ნებისმიერი გარემოება, მათ შორის, სამთავრობო უწყებების ქმედებები აუცილებელია, აკმაყოფილებდეს ამ წინაპირობებს, რათა მიჩნეული იქნეს ფორსმაჟორად. ამასთან, ამ შემთხვევაში, საუბარია, თუ</w:t>
      </w:r>
      <w:r>
        <w:rPr>
          <w:sz w:val="20"/>
          <w:szCs w:val="20"/>
          <w:lang w:val="ka-GE"/>
        </w:rPr>
        <w:t xml:space="preserve"> </w:t>
      </w:r>
      <w:r w:rsidR="00CC6C75" w:rsidRPr="008D129D">
        <w:rPr>
          <w:sz w:val="20"/>
          <w:szCs w:val="20"/>
          <w:lang w:val="ka-GE"/>
        </w:rPr>
        <w:t>რა</w:t>
      </w:r>
      <w:r>
        <w:rPr>
          <w:sz w:val="20"/>
          <w:szCs w:val="20"/>
          <w:lang w:val="ka-GE"/>
        </w:rPr>
        <w:t xml:space="preserve"> </w:t>
      </w:r>
      <w:r w:rsidR="00CC6C75" w:rsidRPr="008D129D">
        <w:rPr>
          <w:sz w:val="20"/>
          <w:szCs w:val="20"/>
          <w:lang w:val="ka-GE"/>
        </w:rPr>
        <w:t>ჩაითვლება</w:t>
      </w:r>
      <w:r w:rsidR="001F2708">
        <w:rPr>
          <w:sz w:val="20"/>
          <w:szCs w:val="20"/>
          <w:lang w:val="ka-GE"/>
        </w:rPr>
        <w:t xml:space="preserve"> </w:t>
      </w:r>
      <w:r w:rsidR="00CC6C75" w:rsidRPr="008D129D">
        <w:rPr>
          <w:sz w:val="20"/>
          <w:szCs w:val="20"/>
          <w:lang w:val="ka-GE"/>
        </w:rPr>
        <w:t>ფორსმაჟორულ</w:t>
      </w:r>
      <w:r w:rsidR="001F2708">
        <w:rPr>
          <w:sz w:val="20"/>
          <w:szCs w:val="20"/>
          <w:lang w:val="ka-GE"/>
        </w:rPr>
        <w:t xml:space="preserve"> </w:t>
      </w:r>
      <w:r w:rsidR="00CC6C75" w:rsidRPr="008D129D">
        <w:rPr>
          <w:sz w:val="20"/>
          <w:szCs w:val="20"/>
          <w:lang w:val="ka-GE"/>
        </w:rPr>
        <w:t>გარემოებად.</w:t>
      </w:r>
      <w:r>
        <w:rPr>
          <w:sz w:val="20"/>
          <w:szCs w:val="20"/>
          <w:lang w:val="ka-GE"/>
        </w:rPr>
        <w:t xml:space="preserve"> </w:t>
      </w:r>
      <w:r w:rsidR="00CC6C75" w:rsidRPr="008D129D">
        <w:rPr>
          <w:sz w:val="20"/>
          <w:szCs w:val="20"/>
          <w:lang w:val="ka-GE"/>
        </w:rPr>
        <w:t>იმ</w:t>
      </w:r>
      <w:r>
        <w:rPr>
          <w:sz w:val="20"/>
          <w:szCs w:val="20"/>
          <w:lang w:val="ka-GE"/>
        </w:rPr>
        <w:t xml:space="preserve"> </w:t>
      </w:r>
      <w:r w:rsidR="00CC6C75" w:rsidRPr="008D129D">
        <w:rPr>
          <w:sz w:val="20"/>
          <w:szCs w:val="20"/>
          <w:lang w:val="ka-GE"/>
        </w:rPr>
        <w:t>შემთხვევაში,</w:t>
      </w:r>
      <w:r w:rsidR="001F2708">
        <w:rPr>
          <w:sz w:val="20"/>
          <w:szCs w:val="20"/>
          <w:lang w:val="ka-GE"/>
        </w:rPr>
        <w:t xml:space="preserve"> </w:t>
      </w:r>
      <w:r w:rsidR="00CC6C75" w:rsidRPr="008D129D">
        <w:rPr>
          <w:sz w:val="20"/>
          <w:szCs w:val="20"/>
          <w:lang w:val="ka-GE"/>
        </w:rPr>
        <w:t>თუ კონსულტანტისათვის ფორსმაჟორი არის რომელიმე სამთავრობო ორგანოს ქმედება, მან შეიძლება, ვერ განახორციელოს რაიმე ქმედება, და შეფერხდეს მომსახურების გაწევა. შესაბამისად, სამთავრობო ორგანოს ქმედების გამო მომსახურების შეფერხება ვერ იქნება კოსულტანტის ბრალეული ქმედება და აღნიშნულს კონტრაქტი განსაზღვრავს, როგორც ფორსმაჟორს.</w:t>
      </w:r>
    </w:p>
    <w:p w:rsidR="00F163E2" w:rsidRPr="00EE3C53" w:rsidRDefault="00CC6C75" w:rsidP="00F163E2">
      <w:pPr>
        <w:spacing w:after="0" w:line="240" w:lineRule="auto"/>
        <w:ind w:left="0" w:right="0" w:firstLine="720"/>
        <w:rPr>
          <w:sz w:val="20"/>
          <w:szCs w:val="20"/>
          <w:lang w:val="ka-GE"/>
        </w:rPr>
      </w:pPr>
      <w:r w:rsidRPr="002D5E00">
        <w:rPr>
          <w:sz w:val="20"/>
          <w:szCs w:val="20"/>
          <w:lang w:val="ka-GE"/>
        </w:rPr>
        <w:lastRenderedPageBreak/>
        <w:t>დ)</w:t>
      </w:r>
      <w:r w:rsidRPr="008D129D">
        <w:rPr>
          <w:b/>
          <w:sz w:val="20"/>
          <w:szCs w:val="20"/>
          <w:lang w:val="ka-GE"/>
        </w:rPr>
        <w:t xml:space="preserve"> </w:t>
      </w:r>
      <w:r w:rsidRPr="008D129D">
        <w:rPr>
          <w:sz w:val="20"/>
          <w:szCs w:val="20"/>
          <w:lang w:val="ka-GE"/>
        </w:rPr>
        <w:t>ხელშეკრულების 20.5 მუხლის „ა“ ქვეპუნქტში საუბარია კლიენტის ქვეყანაში მოქმედ</w:t>
      </w:r>
      <w:r w:rsidR="00C7680A">
        <w:rPr>
          <w:sz w:val="20"/>
          <w:szCs w:val="20"/>
          <w:lang w:val="ka-GE"/>
        </w:rPr>
        <w:t xml:space="preserve"> </w:t>
      </w:r>
      <w:r w:rsidRPr="008D129D">
        <w:rPr>
          <w:sz w:val="20"/>
          <w:szCs w:val="20"/>
          <w:lang w:val="ka-GE"/>
        </w:rPr>
        <w:t>კანონებზე</w:t>
      </w:r>
      <w:r w:rsidR="00F163E2">
        <w:rPr>
          <w:sz w:val="20"/>
          <w:szCs w:val="20"/>
          <w:lang w:val="ka-GE"/>
        </w:rPr>
        <w:t xml:space="preserve"> </w:t>
      </w:r>
      <w:r w:rsidRPr="008D129D">
        <w:rPr>
          <w:sz w:val="20"/>
          <w:szCs w:val="20"/>
          <w:lang w:val="ka-GE"/>
        </w:rPr>
        <w:t>და</w:t>
      </w:r>
      <w:r w:rsidR="00F163E2">
        <w:rPr>
          <w:sz w:val="20"/>
          <w:szCs w:val="20"/>
          <w:lang w:val="ka-GE"/>
        </w:rPr>
        <w:t xml:space="preserve"> </w:t>
      </w:r>
      <w:r w:rsidRPr="008D129D">
        <w:rPr>
          <w:sz w:val="20"/>
          <w:szCs w:val="20"/>
          <w:lang w:val="ka-GE"/>
        </w:rPr>
        <w:t>სხვა</w:t>
      </w:r>
      <w:r w:rsidR="00F163E2">
        <w:rPr>
          <w:sz w:val="20"/>
          <w:szCs w:val="20"/>
          <w:lang w:val="ka-GE"/>
        </w:rPr>
        <w:t xml:space="preserve"> </w:t>
      </w:r>
      <w:r w:rsidRPr="008D129D">
        <w:rPr>
          <w:sz w:val="20"/>
          <w:szCs w:val="20"/>
          <w:lang w:val="ka-GE"/>
        </w:rPr>
        <w:t>ოფიციალურ</w:t>
      </w:r>
      <w:r w:rsidR="00F163E2">
        <w:rPr>
          <w:sz w:val="20"/>
          <w:szCs w:val="20"/>
          <w:lang w:val="ka-GE"/>
        </w:rPr>
        <w:t xml:space="preserve"> </w:t>
      </w:r>
      <w:r w:rsidRPr="008D129D">
        <w:rPr>
          <w:sz w:val="20"/>
          <w:szCs w:val="20"/>
          <w:lang w:val="ka-GE"/>
        </w:rPr>
        <w:t>რეგულაციებზე.</w:t>
      </w:r>
      <w:r w:rsidR="00F163E2">
        <w:rPr>
          <w:sz w:val="20"/>
          <w:szCs w:val="20"/>
          <w:lang w:val="ka-GE"/>
        </w:rPr>
        <w:t xml:space="preserve"> </w:t>
      </w:r>
      <w:r w:rsidRPr="00EE3C53">
        <w:rPr>
          <w:sz w:val="20"/>
          <w:szCs w:val="20"/>
          <w:lang w:val="ka-GE"/>
        </w:rPr>
        <w:t>„სხვა</w:t>
      </w:r>
      <w:r w:rsidR="00F163E2">
        <w:rPr>
          <w:sz w:val="20"/>
          <w:szCs w:val="20"/>
          <w:lang w:val="ka-GE"/>
        </w:rPr>
        <w:t xml:space="preserve"> </w:t>
      </w:r>
      <w:r w:rsidRPr="00EE3C53">
        <w:rPr>
          <w:sz w:val="20"/>
          <w:szCs w:val="20"/>
          <w:lang w:val="ka-GE"/>
        </w:rPr>
        <w:t>ოფიციალური რეგულაციები“</w:t>
      </w:r>
      <w:r w:rsidR="00F163E2">
        <w:rPr>
          <w:sz w:val="20"/>
          <w:szCs w:val="20"/>
          <w:lang w:val="ka-GE"/>
        </w:rPr>
        <w:t xml:space="preserve"> </w:t>
      </w:r>
      <w:r w:rsidRPr="00EE3C53">
        <w:rPr>
          <w:sz w:val="20"/>
          <w:szCs w:val="20"/>
          <w:lang w:val="ka-GE"/>
        </w:rPr>
        <w:t>თავისთავად</w:t>
      </w:r>
      <w:r w:rsidR="00F163E2">
        <w:rPr>
          <w:sz w:val="20"/>
          <w:szCs w:val="20"/>
          <w:lang w:val="ka-GE"/>
        </w:rPr>
        <w:t xml:space="preserve"> </w:t>
      </w:r>
      <w:r w:rsidRPr="00EE3C53">
        <w:rPr>
          <w:sz w:val="20"/>
          <w:szCs w:val="20"/>
          <w:lang w:val="ka-GE"/>
        </w:rPr>
        <w:t>მოიცავს</w:t>
      </w:r>
      <w:r w:rsidR="00F163E2">
        <w:rPr>
          <w:sz w:val="20"/>
          <w:szCs w:val="20"/>
          <w:lang w:val="ka-GE"/>
        </w:rPr>
        <w:t xml:space="preserve"> </w:t>
      </w:r>
      <w:r w:rsidRPr="00EE3C53">
        <w:rPr>
          <w:sz w:val="20"/>
          <w:szCs w:val="20"/>
          <w:lang w:val="ka-GE"/>
        </w:rPr>
        <w:t>სხვა</w:t>
      </w:r>
      <w:r w:rsidR="00F163E2">
        <w:rPr>
          <w:sz w:val="20"/>
          <w:szCs w:val="20"/>
          <w:lang w:val="ka-GE"/>
        </w:rPr>
        <w:t xml:space="preserve"> </w:t>
      </w:r>
      <w:r w:rsidRPr="00EE3C53">
        <w:rPr>
          <w:sz w:val="20"/>
          <w:szCs w:val="20"/>
          <w:lang w:val="ka-GE"/>
        </w:rPr>
        <w:t>ნორმატიული</w:t>
      </w:r>
      <w:r w:rsidR="00F163E2">
        <w:rPr>
          <w:sz w:val="20"/>
          <w:szCs w:val="20"/>
          <w:lang w:val="ka-GE"/>
        </w:rPr>
        <w:t xml:space="preserve"> </w:t>
      </w:r>
      <w:r w:rsidRPr="00EE3C53">
        <w:rPr>
          <w:sz w:val="20"/>
          <w:szCs w:val="20"/>
          <w:lang w:val="ka-GE"/>
        </w:rPr>
        <w:t>აქტებით</w:t>
      </w:r>
      <w:r w:rsidR="00F163E2">
        <w:rPr>
          <w:sz w:val="20"/>
          <w:szCs w:val="20"/>
          <w:lang w:val="ka-GE"/>
        </w:rPr>
        <w:t xml:space="preserve"> </w:t>
      </w:r>
      <w:r w:rsidRPr="00EE3C53">
        <w:rPr>
          <w:sz w:val="20"/>
          <w:szCs w:val="20"/>
          <w:lang w:val="ka-GE"/>
        </w:rPr>
        <w:t>დადგენილ შეზღუდვებს. ამასთან, ხელშეკრულების მარეგულირებელი სამართალი არის ქართული კანონმდებლობა</w:t>
      </w:r>
      <w:r w:rsidR="00C7680A" w:rsidRPr="00EE3C53">
        <w:rPr>
          <w:sz w:val="20"/>
          <w:szCs w:val="20"/>
          <w:lang w:val="ka-GE"/>
        </w:rPr>
        <w:t>;</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ე)</w:t>
      </w:r>
      <w:r w:rsidRPr="00EE3C53">
        <w:rPr>
          <w:b/>
          <w:sz w:val="20"/>
          <w:szCs w:val="20"/>
          <w:lang w:val="ka-GE"/>
        </w:rPr>
        <w:t xml:space="preserve"> </w:t>
      </w:r>
      <w:r w:rsidRPr="00EE3C53">
        <w:rPr>
          <w:sz w:val="20"/>
          <w:szCs w:val="20"/>
          <w:lang w:val="ka-GE"/>
        </w:rPr>
        <w:t>საქართველოს იუსტიციის სამინისტროს მე-5 შენიშვნა გათვალისწინებულია</w:t>
      </w:r>
      <w:r w:rsidR="00C7680A" w:rsidRPr="00EE3C53">
        <w:rPr>
          <w:sz w:val="20"/>
          <w:szCs w:val="20"/>
          <w:lang w:val="ka-GE"/>
        </w:rPr>
        <w:t>;</w:t>
      </w:r>
    </w:p>
    <w:p w:rsidR="00F163E2" w:rsidRPr="00EE3C53" w:rsidRDefault="00CC6C75" w:rsidP="001F2708">
      <w:pPr>
        <w:spacing w:after="0" w:line="240" w:lineRule="auto"/>
        <w:ind w:left="0" w:right="0" w:firstLine="720"/>
        <w:rPr>
          <w:sz w:val="20"/>
          <w:szCs w:val="20"/>
          <w:lang w:val="ka-GE"/>
        </w:rPr>
      </w:pPr>
      <w:r w:rsidRPr="00EE3C53">
        <w:rPr>
          <w:sz w:val="20"/>
          <w:szCs w:val="20"/>
          <w:lang w:val="ka-GE"/>
        </w:rPr>
        <w:t>ვ) ხელშეკრულების 49-ე მუხლის მე-5 პუნქტის „c“ ქვეპუნქტში საუბარია იმ გარემოებაზე,</w:t>
      </w:r>
      <w:r w:rsidR="00C7680A">
        <w:rPr>
          <w:sz w:val="20"/>
          <w:szCs w:val="20"/>
          <w:lang w:val="ka-GE"/>
        </w:rPr>
        <w:t xml:space="preserve"> </w:t>
      </w:r>
      <w:r w:rsidRPr="00EE3C53">
        <w:rPr>
          <w:sz w:val="20"/>
          <w:szCs w:val="20"/>
          <w:lang w:val="ka-GE"/>
        </w:rPr>
        <w:t>რომ „დამოუკიდებელი არბიტრის ან არბიტრების უმრავლესობის (ან, იმ შემთხვევაში, თუ არ არსებობს ასეთი უმრავლესობა, მესამე არბიტრის) გადაწყვეტილება საბოლოო და შესასრულებლად სავალდებულოა და უნდა იყოს აღსრულებადი ნებისმიერ სასამართლოში განსაჯადობის მიხედვით და მხარეებმა უარი უნდა განაცხადონ რაიმე ფორმით</w:t>
      </w:r>
      <w:r w:rsidR="00F163E2">
        <w:rPr>
          <w:sz w:val="20"/>
          <w:szCs w:val="20"/>
          <w:lang w:val="ka-GE"/>
        </w:rPr>
        <w:t xml:space="preserve"> </w:t>
      </w:r>
      <w:r w:rsidRPr="00EE3C53">
        <w:rPr>
          <w:sz w:val="20"/>
          <w:szCs w:val="20"/>
          <w:lang w:val="ka-GE"/>
        </w:rPr>
        <w:t>წინააღმდეგობაზე</w:t>
      </w:r>
      <w:r w:rsidR="00F163E2">
        <w:rPr>
          <w:sz w:val="20"/>
          <w:szCs w:val="20"/>
          <w:lang w:val="ka-GE"/>
        </w:rPr>
        <w:t xml:space="preserve"> </w:t>
      </w:r>
      <w:r w:rsidRPr="00EE3C53">
        <w:rPr>
          <w:sz w:val="20"/>
          <w:szCs w:val="20"/>
          <w:lang w:val="ka-GE"/>
        </w:rPr>
        <w:t>ან</w:t>
      </w:r>
      <w:r w:rsidR="00F163E2">
        <w:rPr>
          <w:sz w:val="20"/>
          <w:szCs w:val="20"/>
          <w:lang w:val="ka-GE"/>
        </w:rPr>
        <w:t xml:space="preserve"> </w:t>
      </w:r>
      <w:r w:rsidRPr="00EE3C53">
        <w:rPr>
          <w:sz w:val="20"/>
          <w:szCs w:val="20"/>
          <w:lang w:val="ka-GE"/>
        </w:rPr>
        <w:t>იმუნიტეტის</w:t>
      </w:r>
      <w:r w:rsidR="00F163E2">
        <w:rPr>
          <w:sz w:val="20"/>
          <w:szCs w:val="20"/>
          <w:lang w:val="ka-GE"/>
        </w:rPr>
        <w:t xml:space="preserve"> </w:t>
      </w:r>
      <w:r w:rsidRPr="00EE3C53">
        <w:rPr>
          <w:sz w:val="20"/>
          <w:szCs w:val="20"/>
          <w:lang w:val="ka-GE"/>
        </w:rPr>
        <w:t>პრეტენზიის</w:t>
      </w:r>
      <w:r w:rsidR="00F163E2" w:rsidRPr="00EE3C53">
        <w:rPr>
          <w:sz w:val="20"/>
          <w:szCs w:val="20"/>
          <w:lang w:val="ka-GE"/>
        </w:rPr>
        <w:t xml:space="preserve"> </w:t>
      </w:r>
      <w:r w:rsidRPr="00EE3C53">
        <w:rPr>
          <w:sz w:val="20"/>
          <w:szCs w:val="20"/>
          <w:lang w:val="ka-GE"/>
        </w:rPr>
        <w:t>წამოყენებაზე</w:t>
      </w:r>
      <w:r w:rsidR="00F163E2">
        <w:rPr>
          <w:sz w:val="20"/>
          <w:szCs w:val="20"/>
          <w:lang w:val="ka-GE"/>
        </w:rPr>
        <w:t xml:space="preserve"> </w:t>
      </w:r>
      <w:r w:rsidRPr="00EE3C53">
        <w:rPr>
          <w:sz w:val="20"/>
          <w:szCs w:val="20"/>
          <w:lang w:val="ka-GE"/>
        </w:rPr>
        <w:t>ასეთი</w:t>
      </w:r>
      <w:r w:rsidR="00F163E2">
        <w:rPr>
          <w:sz w:val="20"/>
          <w:szCs w:val="20"/>
          <w:lang w:val="ka-GE"/>
        </w:rPr>
        <w:t xml:space="preserve"> </w:t>
      </w:r>
      <w:r w:rsidRPr="00EE3C53">
        <w:rPr>
          <w:sz w:val="20"/>
          <w:szCs w:val="20"/>
          <w:lang w:val="ka-GE"/>
        </w:rPr>
        <w:t>გადაწყვეტილების აღსრულებასთან დაკავშირებით.“. აღნიშნული დანაწესი გულისხმობს გადაწყვეტილების აღსრულების სავალდებულოობას ხელშეკრულების ორივე მხარის მიმართ და განმარტავს, რომ იმუნიტეტის პრეტენზია არ უნდა იქნეს გამოყენებული გადაწყვეტილების აღუსრულებლობის მიზნებისათვის.</w:t>
      </w:r>
      <w:r w:rsidR="001F2708">
        <w:rPr>
          <w:sz w:val="20"/>
          <w:szCs w:val="20"/>
          <w:lang w:val="ka-GE"/>
        </w:rPr>
        <w:t xml:space="preserve"> </w:t>
      </w:r>
      <w:r w:rsidRPr="00EE3C53">
        <w:rPr>
          <w:sz w:val="20"/>
          <w:szCs w:val="20"/>
          <w:lang w:val="ka-GE"/>
        </w:rPr>
        <w:t>ხელშეკრულების პროექტის 49-ე მუხლის მე-5 პუნქტის „c“ ქვეპუნქტი არ ადგენს დანაწესს, რომ გადაწყვეტილების აღსრულებისას მხარე იხსნის ყველანაირ იმუნიტეტს, არამედ საუბარია გადაწყვეტილების აღსრულების აუცილებლობაზე. 49-ე მუხლის მე-5 პუნქტის „c“</w:t>
      </w:r>
      <w:r w:rsidR="00C7680A">
        <w:rPr>
          <w:sz w:val="20"/>
          <w:szCs w:val="20"/>
          <w:lang w:val="ka-GE"/>
        </w:rPr>
        <w:t xml:space="preserve"> </w:t>
      </w:r>
      <w:r w:rsidRPr="00EE3C53">
        <w:rPr>
          <w:sz w:val="20"/>
          <w:szCs w:val="20"/>
          <w:lang w:val="ka-GE"/>
        </w:rPr>
        <w:t>ქვეპუნქტი წარმოადგენს სტანდარტულ პირობას, რომლის შეცვლის მითითებას არ ითვალისწინებს ზემოაღნიშნული დოკუმენტი</w:t>
      </w:r>
      <w:r w:rsidR="00F163E2" w:rsidRPr="00EE3C53">
        <w:rPr>
          <w:sz w:val="20"/>
          <w:szCs w:val="20"/>
          <w:lang w:val="ka-GE"/>
        </w:rPr>
        <w:t>.</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 xml:space="preserve">გასათვალისწინებელია, რომ </w:t>
      </w:r>
      <w:r w:rsidR="00C7680A">
        <w:rPr>
          <w:sz w:val="20"/>
          <w:szCs w:val="20"/>
          <w:lang w:val="ka-GE"/>
        </w:rPr>
        <w:t>„</w:t>
      </w:r>
      <w:r w:rsidRPr="00EE3C53">
        <w:rPr>
          <w:sz w:val="20"/>
          <w:szCs w:val="20"/>
          <w:lang w:val="ka-GE"/>
        </w:rPr>
        <w:t>არბიტრაჟის შესახებ</w:t>
      </w:r>
      <w:r w:rsidR="00C7680A">
        <w:rPr>
          <w:sz w:val="20"/>
          <w:szCs w:val="20"/>
          <w:lang w:val="ka-GE"/>
        </w:rPr>
        <w:t>“</w:t>
      </w:r>
      <w:r w:rsidRPr="00EE3C53">
        <w:rPr>
          <w:sz w:val="20"/>
          <w:szCs w:val="20"/>
          <w:lang w:val="ka-GE"/>
        </w:rPr>
        <w:t xml:space="preserve"> საქართველოს კანონის 44-ე მუხლის პირველი პუნქტის შესაბამისად, იმ ქვეყნის მიუხედავად, სადაც გამოტანილ იქნა საარბიტრაჟო გადაწყვეტილება, იგი შესასრულებლად სავალდებულოა და სასამართლოში წერილობითი შუამდგომლობის წარდგენის შემთხვევაში უნდა აღსრულდეს. საქართველოს ფარგლებს გარეთ გამოტანილ გადაწყვეტილებებთან დაკავშირებით უფლებამოსილ სასამართლოდ ითვლება საქართველოს უზენაესი სასამართლო. ამდენად, საქართველოს იუსტიციის სამინისტროს აღნიშნული შენიშვნა არ არის გათვალისწინებული;</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w:t>
      </w:r>
      <w:r w:rsidRPr="00EE3C53">
        <w:rPr>
          <w:b/>
          <w:sz w:val="20"/>
          <w:szCs w:val="20"/>
          <w:lang w:val="ka-GE"/>
        </w:rPr>
        <w:t xml:space="preserve"> </w:t>
      </w:r>
      <w:r w:rsidRPr="00EE3C53">
        <w:rPr>
          <w:sz w:val="20"/>
          <w:szCs w:val="20"/>
          <w:lang w:val="ka-GE"/>
        </w:rPr>
        <w:t>საქართველოს</w:t>
      </w:r>
      <w:r w:rsidR="00F163E2">
        <w:rPr>
          <w:sz w:val="20"/>
          <w:szCs w:val="20"/>
          <w:lang w:val="ka-GE"/>
        </w:rPr>
        <w:t xml:space="preserve"> </w:t>
      </w:r>
      <w:r w:rsidRPr="00EE3C53">
        <w:rPr>
          <w:sz w:val="20"/>
          <w:szCs w:val="20"/>
          <w:lang w:val="ka-GE"/>
        </w:rPr>
        <w:t>იუსტიციის</w:t>
      </w:r>
      <w:r w:rsidR="00F163E2">
        <w:rPr>
          <w:sz w:val="20"/>
          <w:szCs w:val="20"/>
          <w:lang w:val="ka-GE"/>
        </w:rPr>
        <w:t xml:space="preserve"> </w:t>
      </w:r>
      <w:r w:rsidRPr="00EE3C53">
        <w:rPr>
          <w:sz w:val="20"/>
          <w:szCs w:val="20"/>
          <w:lang w:val="ka-GE"/>
        </w:rPr>
        <w:t>სამინისტროს</w:t>
      </w:r>
      <w:r w:rsidR="00F163E2">
        <w:rPr>
          <w:sz w:val="20"/>
          <w:szCs w:val="20"/>
          <w:lang w:val="ka-GE"/>
        </w:rPr>
        <w:t xml:space="preserve"> </w:t>
      </w:r>
      <w:r w:rsidRPr="00EE3C53">
        <w:rPr>
          <w:sz w:val="20"/>
          <w:szCs w:val="20"/>
          <w:lang w:val="ka-GE"/>
        </w:rPr>
        <w:t>მე-7</w:t>
      </w:r>
      <w:r w:rsidR="00F163E2">
        <w:rPr>
          <w:sz w:val="20"/>
          <w:szCs w:val="20"/>
          <w:lang w:val="ka-GE"/>
        </w:rPr>
        <w:t xml:space="preserve"> </w:t>
      </w:r>
      <w:r w:rsidRPr="00EE3C53">
        <w:rPr>
          <w:sz w:val="20"/>
          <w:szCs w:val="20"/>
          <w:lang w:val="ka-GE"/>
        </w:rPr>
        <w:t>შენიშვნასთან</w:t>
      </w:r>
      <w:r w:rsidR="00F163E2">
        <w:rPr>
          <w:sz w:val="20"/>
          <w:szCs w:val="20"/>
          <w:lang w:val="ka-GE"/>
        </w:rPr>
        <w:t xml:space="preserve"> </w:t>
      </w:r>
      <w:r w:rsidRPr="00EE3C53">
        <w:rPr>
          <w:sz w:val="20"/>
          <w:szCs w:val="20"/>
          <w:lang w:val="ka-GE"/>
        </w:rPr>
        <w:t>დაკავშირებით აღსანიშნავია:</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ზ.ა)</w:t>
      </w:r>
      <w:r w:rsidRPr="00EE3C53">
        <w:rPr>
          <w:b/>
          <w:sz w:val="20"/>
          <w:szCs w:val="20"/>
          <w:lang w:val="ka-GE"/>
        </w:rPr>
        <w:t xml:space="preserve"> </w:t>
      </w:r>
      <w:r w:rsidRPr="00EE3C53">
        <w:rPr>
          <w:sz w:val="20"/>
          <w:szCs w:val="20"/>
          <w:lang w:val="ka-GE"/>
        </w:rPr>
        <w:t>ხელშეკრულების პროექტის ზოგადი პირობების 19.1.2 მუხლი აწესრიგებს შემთხვევას, როდესაც დამსაქმებელი დაადგენს, რომ კონტრაქტორი ჩართული იყო კორუფციაში, თაღლითობაში, გარიგებაში ან ზეწოლაში მოცემული ხელშეკრულებისათვის გამართული სატენდერო ვაჭრობის ან კონტრაქტის განხორციელების დროს დამსაქმებელი ვალდებულია დაიცვას ხელშეკრულების შეწყვეტის შეტყობინების</w:t>
      </w:r>
      <w:r w:rsidR="00EE3C53" w:rsidRPr="00EE3C53">
        <w:rPr>
          <w:sz w:val="20"/>
          <w:szCs w:val="20"/>
          <w:lang w:val="ka-GE"/>
        </w:rPr>
        <w:t xml:space="preserve"> 14-</w:t>
      </w:r>
      <w:r w:rsidRPr="00EE3C53">
        <w:rPr>
          <w:sz w:val="20"/>
          <w:szCs w:val="20"/>
          <w:lang w:val="ka-GE"/>
        </w:rPr>
        <w:t>დღიანი ვადა. მნიშვნელოვანია აღინიშნოს, რომ ამ შეთხვევაში სახეზე არ არის უკვე არსებული ფაქტი, არამედ მხოლოდ დამსაქმებლის მტკიცება შესაძლო დანაშაულის შესახებ.</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საერთაშორისო სტანდარტისა და საქართველოს ეროვნული კანონმდებლობის თანახმად, იქამდე, ვიდრე სასამართლოს კანონიერ ძალაში შესული გადაწყვეტილება არ არსებობს კონკრეტული პირის მიმართ, მოქმედებს უდანაშაულობის პრეზუმფცია და არავინ არის უფლებამოსილი დაარღვიოს იგი. სწორედ აღნიშნულის გათვალისწინებით, ხელშეკრულებაში არსებობს პირობა, რომლის თანახმადაც ჯერ კიდევ შესაძლო დაუზუსტებელი ინფორმაცია, ვერ გახდება ხელშეკრულების დაუყოვნებლივ შეწყვეტის საფუძველი. 14</w:t>
      </w:r>
      <w:r w:rsidR="00EE3C53">
        <w:rPr>
          <w:sz w:val="20"/>
          <w:szCs w:val="20"/>
          <w:lang w:val="ka-GE"/>
        </w:rPr>
        <w:t>-</w:t>
      </w:r>
      <w:r w:rsidRPr="00EE3C53">
        <w:rPr>
          <w:sz w:val="20"/>
          <w:szCs w:val="20"/>
          <w:lang w:val="ka-GE"/>
        </w:rPr>
        <w:t>დღიანი ვადა კონტრაქტორს აძლევს საშუალებას წარმოადგინოს მისი უდანაშაულობის დამადასტურებელი მტკიცებულებები და დაიცვას თავი ხელშეკრულების უკანონო და დაუსაბუთებელი შეწყვეტისგან</w:t>
      </w:r>
      <w:r w:rsidR="00EE3C53" w:rsidRPr="00EE3C53">
        <w:rPr>
          <w:sz w:val="20"/>
          <w:szCs w:val="20"/>
          <w:lang w:val="ka-GE"/>
        </w:rPr>
        <w:t>;</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ზ.ბ)</w:t>
      </w:r>
      <w:r w:rsidRPr="00EE3C53">
        <w:rPr>
          <w:b/>
          <w:sz w:val="20"/>
          <w:szCs w:val="20"/>
          <w:lang w:val="ka-GE"/>
        </w:rPr>
        <w:t xml:space="preserve"> </w:t>
      </w:r>
      <w:r w:rsidRPr="00EE3C53">
        <w:rPr>
          <w:sz w:val="20"/>
          <w:szCs w:val="20"/>
          <w:lang w:val="ka-GE"/>
        </w:rPr>
        <w:t>ხელშეკრულების პროექტის</w:t>
      </w:r>
      <w:r w:rsidR="00EE3C53">
        <w:rPr>
          <w:sz w:val="20"/>
          <w:szCs w:val="20"/>
          <w:lang w:val="ka-GE"/>
        </w:rPr>
        <w:t xml:space="preserve"> </w:t>
      </w:r>
      <w:r w:rsidRPr="00EE3C53">
        <w:rPr>
          <w:sz w:val="20"/>
          <w:szCs w:val="20"/>
          <w:lang w:val="ka-GE"/>
        </w:rPr>
        <w:t>ზოგადი</w:t>
      </w:r>
      <w:r w:rsidR="00EE3C53">
        <w:rPr>
          <w:sz w:val="20"/>
          <w:szCs w:val="20"/>
          <w:lang w:val="ka-GE"/>
        </w:rPr>
        <w:t xml:space="preserve"> </w:t>
      </w:r>
      <w:r w:rsidRPr="00EE3C53">
        <w:rPr>
          <w:sz w:val="20"/>
          <w:szCs w:val="20"/>
          <w:lang w:val="ka-GE"/>
        </w:rPr>
        <w:t>პირობების 35.1. მუხლი ავალდებულებს დამკვეთს (დეპარტამენტი) მხოლოდ იმას, რომ ხელშეკრულებით გათვალისწინებული ვალდებულებების ეფექტურად განხორციელებისთვის გამოიყენოს მაქსიმალური ძალისხმევა და დახმარება გაუწიოს კონსულტანტს აუცილებელი ნებართვების თუ ვიზების მიღებაში შესაბამისი უწყებებიდან/დაწესებულებებიდან. აღნიშნული მუხლით გათვალისწინებული ვალდებულებები არ უნდა იქნეს განმარტებული ისე, თითქოს იმ შემთხვევაში, თუ კონსულტანტი ვერ მიიღებს რაიმე საჭირო დოკუმენტს სხვა უწყებიდან, ხელშეკრულებიდან გამომდინარე დეპარტამენტს დაეკისრება რაიმე პასუხისმგებლობა</w:t>
      </w:r>
      <w:r w:rsidR="00EE3C53" w:rsidRPr="00EE3C53">
        <w:rPr>
          <w:sz w:val="20"/>
          <w:szCs w:val="20"/>
          <w:lang w:val="ka-GE"/>
        </w:rPr>
        <w:t>;</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ზ.გ)</w:t>
      </w:r>
      <w:r w:rsidRPr="00EE3C53">
        <w:rPr>
          <w:b/>
          <w:sz w:val="20"/>
          <w:szCs w:val="20"/>
          <w:lang w:val="ka-GE"/>
        </w:rPr>
        <w:t xml:space="preserve"> </w:t>
      </w:r>
      <w:r w:rsidRPr="00EE3C53">
        <w:rPr>
          <w:sz w:val="20"/>
          <w:szCs w:val="20"/>
          <w:lang w:val="ka-GE"/>
        </w:rPr>
        <w:t xml:space="preserve">აღსანიშნავია, რომ ხელშეკრულების პროექტის 43.1. და 43.2. მუხლები ეხება მხოლოდ არაპირდაპირ გადასახადებს. ზოგადად, მსგავსი ტიპის ხელშეკრულების ღირებულებაში არაპირდაპირი ადგილობრივი გადასახადები მთლიანად არის ასახული და, შესაბამისად, მისი გადახდის ვალდებულება არაპირდაპირ ეკისრება დამკვეთს, ამ კონკრეტულ შემთხვევაში, დეპარტამენტს. აღნიშნული განპირობებულია იმ გარემოებით, რომ საქართველოს საგადასახადო კოდექსის მე-8 მუხლის მე-3 ნაწილის თანახმად, არაპირდაპირი გადასახადის ბიუჯეტში გადახდის ვალდებულება ეკისრება საქონლის მიმწოდებელს (იმპორტიორს) ან/და მომსახურების გამწევს, </w:t>
      </w:r>
      <w:r w:rsidRPr="00EE3C53">
        <w:rPr>
          <w:sz w:val="20"/>
          <w:szCs w:val="20"/>
          <w:lang w:val="ka-GE"/>
        </w:rPr>
        <w:lastRenderedPageBreak/>
        <w:t>რომელიც ამ კოდექსის მიზნებისათვის გადასახადის გადამხდელად იწოდება. აღსანიშნავია, რომ მართალია, თანხის ბიუჯეტში გადახდის ვალდებულება სამართლებრივად ეკისრება საქონლის/მომსახურების მიმწოდებელს, თუმცა, არაპირდაპირი გადასახადის არსიდან გამომდინარე, მისი გადახდის ეკონომიკური ტვირთი ეკისრება საქონლის/მომსახურების მომხმარებელს.</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ზ.დ)</w:t>
      </w:r>
      <w:r w:rsidRPr="00EE3C53">
        <w:rPr>
          <w:b/>
          <w:sz w:val="20"/>
          <w:szCs w:val="20"/>
          <w:lang w:val="ka-GE"/>
        </w:rPr>
        <w:t xml:space="preserve"> </w:t>
      </w:r>
      <w:r w:rsidRPr="00EE3C53">
        <w:rPr>
          <w:sz w:val="20"/>
          <w:szCs w:val="20"/>
          <w:lang w:val="ka-GE"/>
        </w:rPr>
        <w:t>ხელშეკრულების ფარგლებში განხორციელებული შესყიდვის პროცედურები შეესაბამება აზიის განვითარების ბანკის მიერ შემუშავებულ შესყიდვების სახელმძღვანელოს</w:t>
      </w:r>
      <w:r w:rsidR="00EE3C53" w:rsidRPr="00EE3C53">
        <w:rPr>
          <w:sz w:val="20"/>
          <w:szCs w:val="20"/>
          <w:lang w:val="ka-GE"/>
        </w:rPr>
        <w:t xml:space="preserve"> (</w:t>
      </w:r>
      <w:r w:rsidRPr="00EE3C53">
        <w:rPr>
          <w:sz w:val="20"/>
          <w:szCs w:val="20"/>
          <w:lang w:val="ka-GE"/>
        </w:rPr>
        <w:t>Procurement Regulations for ADB Borrowers). ამდენად, ამ შემთხვევაში, დეპარტამენტი მოკლებულია</w:t>
      </w:r>
      <w:r w:rsidR="00EE3C53">
        <w:rPr>
          <w:sz w:val="20"/>
          <w:szCs w:val="20"/>
          <w:lang w:val="ka-GE"/>
        </w:rPr>
        <w:t xml:space="preserve"> </w:t>
      </w:r>
      <w:r w:rsidRPr="00EE3C53">
        <w:rPr>
          <w:sz w:val="20"/>
          <w:szCs w:val="20"/>
          <w:lang w:val="ka-GE"/>
        </w:rPr>
        <w:t>შესაძლებლობას, განახორციელოს რაიმე სახის ცვლილებახელშეკრულების პროექტში. მათ შორის, ხელშეკრულებისპროექტის 23.1 მუხლში, რომელიც შეთანხმებულია სატენდერო ეტაპიდან.</w:t>
      </w:r>
    </w:p>
    <w:p w:rsidR="00F163E2" w:rsidRPr="00EE3C53" w:rsidRDefault="00CC6C75" w:rsidP="00F163E2">
      <w:pPr>
        <w:spacing w:after="0" w:line="240" w:lineRule="auto"/>
        <w:ind w:left="0" w:right="0" w:firstLine="720"/>
        <w:rPr>
          <w:sz w:val="20"/>
          <w:szCs w:val="20"/>
          <w:lang w:val="ka-GE"/>
        </w:rPr>
      </w:pPr>
      <w:r w:rsidRPr="00EE3C53">
        <w:rPr>
          <w:sz w:val="20"/>
          <w:szCs w:val="20"/>
          <w:lang w:val="ka-GE"/>
        </w:rPr>
        <w:t>ზ.ე)</w:t>
      </w:r>
      <w:r w:rsidRPr="00EE3C53">
        <w:rPr>
          <w:b/>
          <w:sz w:val="20"/>
          <w:szCs w:val="20"/>
          <w:lang w:val="ka-GE"/>
        </w:rPr>
        <w:t xml:space="preserve"> </w:t>
      </w:r>
      <w:r w:rsidRPr="00EE3C53">
        <w:rPr>
          <w:sz w:val="20"/>
          <w:szCs w:val="20"/>
          <w:lang w:val="ka-GE"/>
        </w:rPr>
        <w:t>მნიშვნელოვანია, რომ ხელშეკრულების ფარგლებში განხორციელებული შესყიდვის პროცედურები შეესაბამება აზიის განვითარების ბანკის მიერ შემუშავებულ შესყიდვების სახელმძღვანელოს („Procurement Regulations for ADB Borrowers“). აზიის განვითარების ბანკს დამტკიცებული აქვს წინადადებების მოთხოვნის ფორმა (RfP), რომელიც მოიცავს კონტრაქტის სტანდარტულ ფორმასაც. თავის მხრივ, კონტრაქტის სტანდარტული ფორმა დავების მოგვარების ფორუმად ითვალისწინებს საერთაშორისო არბიტრაჟს. ამდენად, დეპარტამენტი მოკლებულია შესაძლებლობას, განახორციელოს</w:t>
      </w:r>
      <w:r w:rsidR="00EE3C53">
        <w:rPr>
          <w:sz w:val="20"/>
          <w:szCs w:val="20"/>
          <w:lang w:val="ka-GE"/>
        </w:rPr>
        <w:t xml:space="preserve"> </w:t>
      </w:r>
      <w:r w:rsidRPr="00EE3C53">
        <w:rPr>
          <w:sz w:val="20"/>
          <w:szCs w:val="20"/>
          <w:lang w:val="ka-GE"/>
        </w:rPr>
        <w:t>რაიმე ცვლილება ხელშეკრულების პროექტში.</w:t>
      </w:r>
    </w:p>
    <w:p w:rsidR="004C32C0" w:rsidRDefault="00CC6C75" w:rsidP="00F163E2">
      <w:pPr>
        <w:spacing w:after="0" w:line="240" w:lineRule="auto"/>
        <w:ind w:left="0" w:right="0" w:firstLine="720"/>
        <w:rPr>
          <w:sz w:val="20"/>
          <w:szCs w:val="20"/>
        </w:rPr>
      </w:pPr>
      <w:r w:rsidRPr="00CC6C75">
        <w:rPr>
          <w:sz w:val="20"/>
          <w:szCs w:val="20"/>
        </w:rPr>
        <w:t>ყოველივე ზემოაღნიშნულიდან გამომდინარე, მიზანშეწონილია, „უცხოელი კონტრაჰენტების მონაწილეობით ხელშეკრულებების გაფორმებასთან დაკავშირებულ ზოგიერთ ღონისძიებათა შესახებ“ საქართველოს მთავრობის 2010 წლის 11 მაისის №139 დადგენილების პირველი მუხლის „ა“ ქვეპუნქტის შესაბამისად, მოწონებულ იქნას ხელშეკრულების პროექტი.</w:t>
      </w:r>
    </w:p>
    <w:p w:rsidR="00F163E2" w:rsidRPr="00CC6C75" w:rsidRDefault="00F163E2" w:rsidP="00F163E2">
      <w:pPr>
        <w:spacing w:after="0" w:line="240" w:lineRule="auto"/>
        <w:ind w:left="0" w:right="0" w:firstLine="720"/>
        <w:rPr>
          <w:sz w:val="20"/>
          <w:szCs w:val="20"/>
        </w:rPr>
      </w:pPr>
    </w:p>
    <w:p w:rsidR="004C32C0" w:rsidRPr="00CC6C75" w:rsidRDefault="00CC6C75" w:rsidP="00F163E2">
      <w:pPr>
        <w:spacing w:after="0" w:line="240" w:lineRule="auto"/>
        <w:ind w:left="0" w:right="0"/>
        <w:jc w:val="center"/>
        <w:rPr>
          <w:sz w:val="20"/>
          <w:szCs w:val="20"/>
        </w:rPr>
      </w:pPr>
      <w:proofErr w:type="gramStart"/>
      <w:r w:rsidRPr="00CC6C75">
        <w:rPr>
          <w:b/>
          <w:sz w:val="20"/>
          <w:szCs w:val="20"/>
        </w:rPr>
        <w:t>ინფორმაცია</w:t>
      </w:r>
      <w:proofErr w:type="gramEnd"/>
      <w:r w:rsidRPr="00CC6C75">
        <w:rPr>
          <w:b/>
          <w:sz w:val="20"/>
          <w:szCs w:val="20"/>
        </w:rPr>
        <w:t xml:space="preserve"> ევროკავშირის სამართლებრივი აქტის შესახებ</w:t>
      </w:r>
    </w:p>
    <w:p w:rsidR="00F163E2" w:rsidRDefault="00F163E2" w:rsidP="00CC6C75">
      <w:pPr>
        <w:spacing w:after="0" w:line="240" w:lineRule="auto"/>
        <w:ind w:left="0" w:right="0"/>
        <w:rPr>
          <w:sz w:val="20"/>
          <w:szCs w:val="20"/>
        </w:rPr>
      </w:pPr>
    </w:p>
    <w:p w:rsidR="004C32C0" w:rsidRDefault="00CC6C75" w:rsidP="00F163E2">
      <w:pPr>
        <w:spacing w:after="0" w:line="240" w:lineRule="auto"/>
        <w:ind w:left="0" w:right="0" w:firstLine="720"/>
        <w:rPr>
          <w:sz w:val="20"/>
          <w:szCs w:val="20"/>
        </w:rPr>
      </w:pPr>
      <w:proofErr w:type="gramStart"/>
      <w:r w:rsidRPr="00CC6C75">
        <w:rPr>
          <w:sz w:val="20"/>
          <w:szCs w:val="20"/>
        </w:rPr>
        <w:t>განკარგულების</w:t>
      </w:r>
      <w:proofErr w:type="gramEnd"/>
      <w:r w:rsidRPr="00CC6C75">
        <w:rPr>
          <w:sz w:val="20"/>
          <w:szCs w:val="20"/>
        </w:rPr>
        <w:t xml:space="preserve"> პროექტი არ უკავშირდება ევროკავშირის რომელიმე სამართლებრივ აქტს,რომელთან დაახლოების ვალდებულებაც გამომდინარეობს „ერთი მხრივ, საქართველოსადა, მეორე მხრივ, ევროკავშირს და ევროპის ატომური ენერგიის გაერთიანებას და მათ წევრსახელმწიფოებს შორის ასოცირების შესახებ შეთანხმებიდან“ ან ევროკავშირთან დადებულისაქართველოს სხვა ორმხრივი და მრავალმხრივი ხელშეკრულებებიდან.</w:t>
      </w:r>
    </w:p>
    <w:p w:rsidR="009D7CC2" w:rsidRPr="00CC6C75" w:rsidRDefault="009D7CC2" w:rsidP="00F163E2">
      <w:pPr>
        <w:spacing w:after="0" w:line="240" w:lineRule="auto"/>
        <w:ind w:left="0" w:right="0" w:firstLine="720"/>
        <w:rPr>
          <w:sz w:val="20"/>
          <w:szCs w:val="20"/>
        </w:rPr>
      </w:pPr>
    </w:p>
    <w:p w:rsidR="004C32C0" w:rsidRDefault="00CC6C75" w:rsidP="009D7CC2">
      <w:pPr>
        <w:spacing w:after="0" w:line="240" w:lineRule="auto"/>
        <w:ind w:left="0" w:right="0"/>
        <w:jc w:val="center"/>
        <w:rPr>
          <w:b/>
          <w:sz w:val="20"/>
          <w:szCs w:val="20"/>
        </w:rPr>
      </w:pPr>
      <w:proofErr w:type="gramStart"/>
      <w:r w:rsidRPr="00CC6C75">
        <w:rPr>
          <w:b/>
          <w:sz w:val="20"/>
          <w:szCs w:val="20"/>
        </w:rPr>
        <w:t>პროექტის</w:t>
      </w:r>
      <w:proofErr w:type="gramEnd"/>
      <w:r w:rsidRPr="00CC6C75">
        <w:rPr>
          <w:b/>
          <w:sz w:val="20"/>
          <w:szCs w:val="20"/>
        </w:rPr>
        <w:t xml:space="preserve"> მიღებით გამოწვეული საფინანსო-ეკონომიკური შედეგების გაანგარიშება</w:t>
      </w:r>
    </w:p>
    <w:p w:rsidR="009D7CC2" w:rsidRPr="00CC6C75" w:rsidRDefault="009D7CC2" w:rsidP="00CC6C75">
      <w:pPr>
        <w:spacing w:after="0" w:line="240" w:lineRule="auto"/>
        <w:ind w:left="0" w:right="0"/>
        <w:rPr>
          <w:sz w:val="20"/>
          <w:szCs w:val="20"/>
        </w:rPr>
      </w:pPr>
    </w:p>
    <w:p w:rsidR="004C32C0" w:rsidRDefault="00CC6C75" w:rsidP="009D7CC2">
      <w:pPr>
        <w:spacing w:after="0" w:line="240" w:lineRule="auto"/>
        <w:ind w:left="0" w:right="0" w:firstLine="720"/>
        <w:rPr>
          <w:sz w:val="20"/>
          <w:szCs w:val="20"/>
        </w:rPr>
      </w:pPr>
      <w:proofErr w:type="gramStart"/>
      <w:r w:rsidRPr="00CC6C75">
        <w:rPr>
          <w:sz w:val="20"/>
          <w:szCs w:val="20"/>
        </w:rPr>
        <w:t>ხელშეკრულების</w:t>
      </w:r>
      <w:proofErr w:type="gramEnd"/>
      <w:r w:rsidRPr="00CC6C75">
        <w:rPr>
          <w:sz w:val="20"/>
          <w:szCs w:val="20"/>
        </w:rPr>
        <w:t xml:space="preserve"> ღირებულება შეადგენს 4 859 157.40 (ოთხი მილიონ რვაას</w:t>
      </w:r>
      <w:r w:rsidR="00CE7B14">
        <w:rPr>
          <w:sz w:val="20"/>
          <w:szCs w:val="20"/>
          <w:lang w:val="ka-GE"/>
        </w:rPr>
        <w:t xml:space="preserve"> </w:t>
      </w:r>
      <w:r w:rsidRPr="00CC6C75">
        <w:rPr>
          <w:sz w:val="20"/>
          <w:szCs w:val="20"/>
        </w:rPr>
        <w:t>ორმოცდაცხრამეტი ათას ას ორმოცდაჩვიდმეტი დოლარი და ორმოცი ცენტი) დოლარს და 7 742 881.52 (შვიდი მილიონ შვიდას ორმოცდაორი ათას რვაას ოთხმოცდაერთი ლარი და</w:t>
      </w:r>
      <w:r w:rsidR="00CE7B14">
        <w:rPr>
          <w:sz w:val="20"/>
          <w:szCs w:val="20"/>
          <w:lang w:val="ka-GE"/>
        </w:rPr>
        <w:t xml:space="preserve"> </w:t>
      </w:r>
      <w:r w:rsidRPr="00CC6C75">
        <w:rPr>
          <w:sz w:val="20"/>
          <w:szCs w:val="20"/>
        </w:rPr>
        <w:t>ორმოცდათორმეტი თეთრი) ლარს</w:t>
      </w:r>
      <w:r w:rsidR="00CE7B14">
        <w:rPr>
          <w:sz w:val="20"/>
          <w:szCs w:val="20"/>
          <w:lang w:val="ka-GE"/>
        </w:rPr>
        <w:t>, ადგილობრივი არაპირდაპირი</w:t>
      </w:r>
      <w:r w:rsidRPr="00CC6C75">
        <w:rPr>
          <w:sz w:val="20"/>
          <w:szCs w:val="20"/>
        </w:rPr>
        <w:t xml:space="preserve"> გადასახადების ჩათვლით.</w:t>
      </w:r>
    </w:p>
    <w:p w:rsidR="009D7CC2" w:rsidRPr="00CC6C75" w:rsidRDefault="009D7CC2" w:rsidP="009D7CC2">
      <w:pPr>
        <w:spacing w:after="0" w:line="240" w:lineRule="auto"/>
        <w:ind w:left="0" w:right="0" w:firstLine="720"/>
        <w:rPr>
          <w:sz w:val="20"/>
          <w:szCs w:val="20"/>
        </w:rPr>
      </w:pPr>
    </w:p>
    <w:p w:rsidR="004C32C0" w:rsidRDefault="00CC6C75" w:rsidP="009D7CC2">
      <w:pPr>
        <w:spacing w:after="0" w:line="240" w:lineRule="auto"/>
        <w:ind w:left="0" w:right="0"/>
        <w:jc w:val="center"/>
        <w:rPr>
          <w:b/>
          <w:sz w:val="20"/>
          <w:szCs w:val="20"/>
        </w:rPr>
      </w:pPr>
      <w:proofErr w:type="gramStart"/>
      <w:r w:rsidRPr="00CC6C75">
        <w:rPr>
          <w:b/>
          <w:sz w:val="20"/>
          <w:szCs w:val="20"/>
        </w:rPr>
        <w:t>პროექტის</w:t>
      </w:r>
      <w:proofErr w:type="gramEnd"/>
      <w:r w:rsidRPr="00CC6C75">
        <w:rPr>
          <w:b/>
          <w:sz w:val="20"/>
          <w:szCs w:val="20"/>
        </w:rPr>
        <w:t xml:space="preserve"> მოსალოდნელი შედეგები</w:t>
      </w:r>
    </w:p>
    <w:p w:rsidR="009D7CC2" w:rsidRPr="00CC6C75" w:rsidRDefault="009D7CC2" w:rsidP="00CC6C75">
      <w:pPr>
        <w:spacing w:after="0" w:line="240" w:lineRule="auto"/>
        <w:ind w:left="0" w:right="0"/>
        <w:rPr>
          <w:sz w:val="20"/>
          <w:szCs w:val="20"/>
        </w:rPr>
      </w:pPr>
    </w:p>
    <w:p w:rsidR="004C32C0" w:rsidRDefault="00CC6C75" w:rsidP="009D7CC2">
      <w:pPr>
        <w:spacing w:after="0" w:line="240" w:lineRule="auto"/>
        <w:ind w:left="0" w:right="0" w:firstLine="720"/>
        <w:rPr>
          <w:sz w:val="20"/>
          <w:szCs w:val="20"/>
          <w:lang w:val="ka-GE"/>
        </w:rPr>
      </w:pPr>
      <w:r w:rsidRPr="00CC6C75">
        <w:rPr>
          <w:sz w:val="20"/>
          <w:szCs w:val="20"/>
        </w:rPr>
        <w:t>განკარგულების პროექტის მიღებით მოწონებულ იქნება დეპარტამენტსა და ერთობლოვ საწარმოს „UBM ULUSLARARASI BİRLEŞMİŞMÜŞAVİRLER MÜŞAVİRLİK HİZMETLERİ A.Ş. და SMEC International PTY LTD“ შორის გასაფორმებელი ხელშეკრულებ</w:t>
      </w:r>
      <w:r w:rsidR="008714A1">
        <w:rPr>
          <w:sz w:val="20"/>
          <w:szCs w:val="20"/>
          <w:lang w:val="ka-GE"/>
        </w:rPr>
        <w:t xml:space="preserve">ა </w:t>
      </w:r>
      <w:r w:rsidRPr="00CC6C75">
        <w:rPr>
          <w:sz w:val="20"/>
          <w:szCs w:val="20"/>
        </w:rPr>
        <w:t>და, შესაბამისად, გაფორმდება ხელშეკრულება, რომლის საფუძველზეც განხორციელდება E60 ჩქაროსნული ავტომაგისტრალის შორაპანი-არგვეთას (F4) მონაკვეთის მშენებლობაზე ზედამხედველობა</w:t>
      </w:r>
      <w:r w:rsidR="009D7CC2">
        <w:rPr>
          <w:sz w:val="20"/>
          <w:szCs w:val="20"/>
          <w:lang w:val="ka-GE"/>
        </w:rPr>
        <w:t>.</w:t>
      </w:r>
    </w:p>
    <w:p w:rsidR="009D7CC2" w:rsidRPr="009D7CC2" w:rsidRDefault="009D7CC2" w:rsidP="009D7CC2">
      <w:pPr>
        <w:spacing w:after="0" w:line="240" w:lineRule="auto"/>
        <w:ind w:left="0" w:right="0" w:firstLine="720"/>
        <w:rPr>
          <w:sz w:val="20"/>
          <w:szCs w:val="20"/>
          <w:lang w:val="ka-GE"/>
        </w:rPr>
      </w:pPr>
    </w:p>
    <w:p w:rsidR="004C32C0" w:rsidRDefault="00CC6C75" w:rsidP="009D7CC2">
      <w:pPr>
        <w:spacing w:after="0" w:line="240" w:lineRule="auto"/>
        <w:ind w:left="0" w:right="0"/>
        <w:jc w:val="center"/>
        <w:rPr>
          <w:b/>
          <w:sz w:val="20"/>
          <w:szCs w:val="20"/>
        </w:rPr>
      </w:pPr>
      <w:proofErr w:type="gramStart"/>
      <w:r w:rsidRPr="00CC6C75">
        <w:rPr>
          <w:b/>
          <w:sz w:val="20"/>
          <w:szCs w:val="20"/>
        </w:rPr>
        <w:t>პროექტის</w:t>
      </w:r>
      <w:proofErr w:type="gramEnd"/>
      <w:r w:rsidRPr="00CC6C75">
        <w:rPr>
          <w:b/>
          <w:sz w:val="20"/>
          <w:szCs w:val="20"/>
        </w:rPr>
        <w:t xml:space="preserve"> განხორციელების ვადები</w:t>
      </w:r>
    </w:p>
    <w:p w:rsidR="009D7CC2" w:rsidRPr="00CC6C75" w:rsidRDefault="009D7CC2" w:rsidP="00CC6C75">
      <w:pPr>
        <w:spacing w:after="0" w:line="240" w:lineRule="auto"/>
        <w:ind w:left="0" w:right="0"/>
        <w:rPr>
          <w:sz w:val="20"/>
          <w:szCs w:val="20"/>
        </w:rPr>
      </w:pPr>
    </w:p>
    <w:p w:rsidR="006C08B2" w:rsidRDefault="00CC6C75" w:rsidP="009D7CC2">
      <w:pPr>
        <w:spacing w:after="0" w:line="240" w:lineRule="auto"/>
        <w:ind w:left="0" w:right="0" w:firstLine="720"/>
        <w:rPr>
          <w:sz w:val="20"/>
          <w:szCs w:val="20"/>
        </w:rPr>
      </w:pPr>
      <w:proofErr w:type="gramStart"/>
      <w:r w:rsidRPr="00CC6C75">
        <w:rPr>
          <w:sz w:val="20"/>
          <w:szCs w:val="20"/>
        </w:rPr>
        <w:t>განკარგულების</w:t>
      </w:r>
      <w:proofErr w:type="gramEnd"/>
      <w:r w:rsidRPr="00CC6C75">
        <w:rPr>
          <w:sz w:val="20"/>
          <w:szCs w:val="20"/>
        </w:rPr>
        <w:t xml:space="preserve"> პროექტით გათვალისწინებული ხელშეკრულების გაფორმება იგეგმება მარტის თვეში. </w:t>
      </w:r>
    </w:p>
    <w:p w:rsidR="004C32C0" w:rsidRPr="00CC6C75" w:rsidRDefault="00CC6C75" w:rsidP="009D7CC2">
      <w:pPr>
        <w:spacing w:after="0" w:line="240" w:lineRule="auto"/>
        <w:ind w:left="0" w:right="0" w:firstLine="720"/>
        <w:rPr>
          <w:sz w:val="20"/>
          <w:szCs w:val="20"/>
        </w:rPr>
      </w:pPr>
      <w:proofErr w:type="gramStart"/>
      <w:r w:rsidRPr="00CC6C75">
        <w:rPr>
          <w:sz w:val="20"/>
          <w:szCs w:val="20"/>
        </w:rPr>
        <w:t>ხელშეკრულებით</w:t>
      </w:r>
      <w:proofErr w:type="gramEnd"/>
      <w:r w:rsidRPr="00CC6C75">
        <w:rPr>
          <w:sz w:val="20"/>
          <w:szCs w:val="20"/>
        </w:rPr>
        <w:t xml:space="preserve"> გათვალისწინებული საზედამხედველო მომსახურების გაწევის ვადა შეადგენს 60 (სამოცი) თვეს (+7 დღე სამუშაოების დაწყებისთვის ხელშეკრულების</w:t>
      </w:r>
      <w:r w:rsidR="006C08B2">
        <w:rPr>
          <w:sz w:val="20"/>
          <w:szCs w:val="20"/>
          <w:lang w:val="ka-GE"/>
        </w:rPr>
        <w:t xml:space="preserve"> </w:t>
      </w:r>
      <w:r w:rsidRPr="00CC6C75">
        <w:rPr>
          <w:sz w:val="20"/>
          <w:szCs w:val="20"/>
        </w:rPr>
        <w:t>ძალაში შესვლის თარიღიდან).</w:t>
      </w:r>
    </w:p>
    <w:p w:rsidR="009D7CC2" w:rsidRDefault="009D7CC2" w:rsidP="00CC6C75">
      <w:pPr>
        <w:spacing w:after="0" w:line="240" w:lineRule="auto"/>
        <w:ind w:left="0" w:right="0"/>
        <w:rPr>
          <w:b/>
          <w:sz w:val="20"/>
          <w:szCs w:val="20"/>
        </w:rPr>
      </w:pPr>
    </w:p>
    <w:p w:rsidR="004C32C0" w:rsidRPr="00CC6C75" w:rsidRDefault="00CC6C75" w:rsidP="009D7CC2">
      <w:pPr>
        <w:spacing w:after="0" w:line="240" w:lineRule="auto"/>
        <w:ind w:left="0" w:right="0"/>
        <w:jc w:val="center"/>
        <w:rPr>
          <w:sz w:val="20"/>
          <w:szCs w:val="20"/>
        </w:rPr>
      </w:pPr>
      <w:proofErr w:type="gramStart"/>
      <w:r w:rsidRPr="00CC6C75">
        <w:rPr>
          <w:b/>
          <w:sz w:val="20"/>
          <w:szCs w:val="20"/>
        </w:rPr>
        <w:t>პროექტის</w:t>
      </w:r>
      <w:proofErr w:type="gramEnd"/>
      <w:r w:rsidRPr="00CC6C75">
        <w:rPr>
          <w:b/>
          <w:sz w:val="20"/>
          <w:szCs w:val="20"/>
        </w:rPr>
        <w:t xml:space="preserve"> ავტორი და წარმდგენი</w:t>
      </w:r>
    </w:p>
    <w:p w:rsidR="009D7CC2" w:rsidRDefault="009D7CC2" w:rsidP="00CC6C75">
      <w:pPr>
        <w:spacing w:after="0" w:line="240" w:lineRule="auto"/>
        <w:ind w:left="0" w:right="0"/>
        <w:rPr>
          <w:sz w:val="20"/>
          <w:szCs w:val="20"/>
        </w:rPr>
      </w:pPr>
    </w:p>
    <w:p w:rsidR="004C32C0" w:rsidRPr="00CC6C75" w:rsidRDefault="00CC6C75" w:rsidP="009D7CC2">
      <w:pPr>
        <w:spacing w:after="0" w:line="240" w:lineRule="auto"/>
        <w:ind w:left="0" w:right="0" w:firstLine="720"/>
        <w:rPr>
          <w:sz w:val="20"/>
          <w:szCs w:val="20"/>
        </w:rPr>
      </w:pPr>
      <w:proofErr w:type="gramStart"/>
      <w:r w:rsidRPr="00CC6C75">
        <w:rPr>
          <w:sz w:val="20"/>
          <w:szCs w:val="20"/>
        </w:rPr>
        <w:lastRenderedPageBreak/>
        <w:t>განკარგულების</w:t>
      </w:r>
      <w:proofErr w:type="gramEnd"/>
      <w:r w:rsidRPr="00CC6C75">
        <w:rPr>
          <w:sz w:val="20"/>
          <w:szCs w:val="20"/>
        </w:rPr>
        <w:t xml:space="preserve"> პროექტის ავტორია დეპარტამენტი, ხოლო წარმდგენი - საქართველოს</w:t>
      </w:r>
      <w:r w:rsidR="00D17F22">
        <w:rPr>
          <w:sz w:val="20"/>
          <w:szCs w:val="20"/>
          <w:lang w:val="ka-GE"/>
        </w:rPr>
        <w:t xml:space="preserve"> </w:t>
      </w:r>
      <w:r w:rsidRPr="00CC6C75">
        <w:rPr>
          <w:sz w:val="20"/>
          <w:szCs w:val="20"/>
        </w:rPr>
        <w:t>რეგიონული განვითარებისა და ინფრასტრუქტურის სამინისტრო.</w:t>
      </w:r>
    </w:p>
    <w:sectPr w:rsidR="004C32C0" w:rsidRPr="00CC6C75">
      <w:pgSz w:w="11906" w:h="16838"/>
      <w:pgMar w:top="1003" w:right="1384" w:bottom="107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2C0"/>
    <w:rsid w:val="000253AC"/>
    <w:rsid w:val="00033CE1"/>
    <w:rsid w:val="00071293"/>
    <w:rsid w:val="000C4A59"/>
    <w:rsid w:val="001106D4"/>
    <w:rsid w:val="00163D88"/>
    <w:rsid w:val="001F2708"/>
    <w:rsid w:val="00226050"/>
    <w:rsid w:val="00264457"/>
    <w:rsid w:val="00272615"/>
    <w:rsid w:val="002D5E00"/>
    <w:rsid w:val="0038183B"/>
    <w:rsid w:val="004A46E0"/>
    <w:rsid w:val="004C32C0"/>
    <w:rsid w:val="005E6D65"/>
    <w:rsid w:val="006C08B2"/>
    <w:rsid w:val="006F3025"/>
    <w:rsid w:val="0075709A"/>
    <w:rsid w:val="00775EF3"/>
    <w:rsid w:val="008714A1"/>
    <w:rsid w:val="008D0549"/>
    <w:rsid w:val="008D129D"/>
    <w:rsid w:val="00971190"/>
    <w:rsid w:val="0098526E"/>
    <w:rsid w:val="009D79D2"/>
    <w:rsid w:val="009D7CC2"/>
    <w:rsid w:val="00A66071"/>
    <w:rsid w:val="00AF541A"/>
    <w:rsid w:val="00C31E8B"/>
    <w:rsid w:val="00C7680A"/>
    <w:rsid w:val="00CC6C75"/>
    <w:rsid w:val="00CE7B14"/>
    <w:rsid w:val="00D17F22"/>
    <w:rsid w:val="00D739AD"/>
    <w:rsid w:val="00DA3BAC"/>
    <w:rsid w:val="00ED2C31"/>
    <w:rsid w:val="00ED510E"/>
    <w:rsid w:val="00EE3C53"/>
    <w:rsid w:val="00F163E2"/>
    <w:rsid w:val="00FD5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7BCDF-AD12-4CC3-832D-885AEB3C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77" w:line="249" w:lineRule="auto"/>
      <w:ind w:left="10" w:right="56" w:hanging="10"/>
      <w:jc w:val="both"/>
    </w:pPr>
    <w:rPr>
      <w:rFonts w:ascii="Sylfaen" w:eastAsia="Sylfaen" w:hAnsi="Sylfaen" w:cs="Sylfae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F30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3025"/>
    <w:rPr>
      <w:rFonts w:ascii="Segoe UI" w:eastAsia="Sylfae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3882</Words>
  <Characters>22129</Characters>
  <Application>Microsoft Office Word</Application>
  <DocSecurity>0</DocSecurity>
  <Lines>184</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kvartskhava</dc:creator>
  <cp:keywords/>
  <cp:lastModifiedBy>Merab Japaridze</cp:lastModifiedBy>
  <cp:revision>2</cp:revision>
  <dcterms:created xsi:type="dcterms:W3CDTF">2020-03-24T11:30:00Z</dcterms:created>
  <dcterms:modified xsi:type="dcterms:W3CDTF">2020-03-24T11:30:00Z</dcterms:modified>
</cp:coreProperties>
</file>